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VYRIAUSYBĖ</w:t>
      </w:r>
    </w:p>
    <w:p>
      <w:pPr>
        <w:jc w:val="center"/>
        <w:rPr>
          <w:color w:val="000000"/>
        </w:rPr>
      </w:pPr>
      <w:r>
        <w:rPr>
          <w:color w:val="000000"/>
        </w:rPr>
        <w:t>N U T A R I M A S</w:t>
      </w:r>
    </w:p>
    <w:p>
      <w:pPr>
        <w:jc w:val="center"/>
        <w:rPr>
          <w:color w:val="000000"/>
        </w:rPr>
      </w:pPr>
    </w:p>
    <w:p>
      <w:pPr>
        <w:jc w:val="center"/>
        <w:rPr>
          <w:b/>
        </w:rPr>
      </w:pPr>
      <w:r>
        <w:rPr>
          <w:b/>
        </w:rPr>
        <w:t xml:space="preserve">DĖL </w:t>
      </w:r>
      <w:r>
        <w:rPr>
          <w:rFonts w:cs="Tahoma"/>
          <w:b/>
          <w:bCs/>
        </w:rPr>
        <w:t>LIETUVOS RESPUBLIKOS VYRIAUSYBĖS 2000 M. GRUODŽIO 15 D. NUTARIMO NR. 1458 „DĖL KONKREČIŲ VALSTYBĖS RINKLIAVOS DYDŽIŲ IR ŠIOS RINKLIAVOS MOKĖJIMO IR GRĄŽINIMO TAISYKLIŲ PATVIRTINIMO“ PAKEITIMO</w:t>
      </w:r>
    </w:p>
    <w:p/>
    <w:p>
      <w:pPr>
        <w:jc w:val="center"/>
      </w:pPr>
      <w:r>
        <w:t>2012 m. kovo 21 d. Nr. 301</w:t>
      </w:r>
    </w:p>
    <w:p>
      <w:pPr>
        <w:jc w:val="center"/>
      </w:pPr>
      <w:r>
        <w:t>Vilnius</w:t>
      </w:r>
    </w:p>
    <w:p>
      <w:pPr>
        <w:ind w:firstLine="567"/>
        <w:jc w:val="both"/>
      </w:pPr>
    </w:p>
    <w:p>
      <w:pPr>
        <w:ind w:firstLine="567"/>
        <w:jc w:val="both"/>
      </w:pPr>
      <w:r>
        <w:t xml:space="preserve">Lietuvos Respublikos Vyriausybė </w:t>
      </w:r>
      <w:r>
        <w:rPr>
          <w:spacing w:val="60"/>
        </w:rPr>
        <w:t>nutari</w:t>
      </w:r>
      <w:r>
        <w:t>a:</w:t>
      </w:r>
    </w:p>
    <w:p>
      <w:pPr>
        <w:ind w:firstLine="567"/>
        <w:jc w:val="both"/>
        <w:rPr>
          <w:rFonts w:cs="Tahoma"/>
        </w:rPr>
      </w:pPr>
      <w:r>
        <w:rPr>
          <w:rFonts w:cs="Tahoma"/>
        </w:rPr>
        <w:t>1</w:t>
      </w:r>
      <w:r>
        <w:rPr>
          <w:rFonts w:cs="Tahoma"/>
        </w:rPr>
        <w:t>. Pripažinti</w:t>
      </w:r>
      <w:r>
        <w:t xml:space="preserve"> </w:t>
      </w:r>
      <w:r>
        <w:rPr>
          <w:rFonts w:cs="Tahoma"/>
        </w:rPr>
        <w:t>netekusiais galios k</w:t>
      </w:r>
      <w:r>
        <w:t xml:space="preserve">onkrečių valstybės rinkliavos dydžių, patvirtintų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2005, Nr. </w:t>
      </w:r>
      <w:fldSimple w:instr="HYPERLINK https://www.e-tar.lt/portal/lt/legalAct/TAR.E76BF28306A2 \t _blank">
        <w:r>
          <w:rPr>
            <w:u w:val="single"/>
            <w:color w:val="0000FF" w:themeColor="hyperlink"/>
          </w:rPr>
          <w:t>36-1183</w:t>
        </w:r>
      </w:fldSimple>
      <w:r>
        <w:t xml:space="preserve">; 2007, Nr. </w:t>
      </w:r>
      <w:fldSimple w:instr="HYPERLINK https://www.e-tar.lt/portal/lt/legalAct/TAR.7947D7481486 \t _blank">
        <w:r>
          <w:rPr>
            <w:u w:val="single"/>
            <w:color w:val="0000FF" w:themeColor="hyperlink"/>
          </w:rPr>
          <w:t>68-2664</w:t>
        </w:r>
      </w:fldSimple>
      <w:r>
        <w:t xml:space="preserve">; 2008, Nr. </w:t>
      </w:r>
      <w:fldSimple w:instr="HYPERLINK https://www.e-tar.lt/portal/lt/legalAct/TAR.8C1A6BF2C46F \t _blank">
        <w:r>
          <w:rPr>
            <w:u w:val="single"/>
            <w:color w:val="0000FF" w:themeColor="hyperlink"/>
          </w:rPr>
          <w:t>36-1285</w:t>
        </w:r>
      </w:fldSimple>
      <w:r>
        <w:t>),</w:t>
      </w:r>
      <w:r>
        <w:rPr>
          <w:rFonts w:cs="Tahoma"/>
        </w:rPr>
        <w:t xml:space="preserve"> 4.84–4.87 punktus.</w:t>
      </w:r>
    </w:p>
    <w:p>
      <w:pPr>
        <w:ind w:firstLine="567"/>
        <w:jc w:val="both"/>
        <w:rPr>
          <w:rFonts w:cs="Tahoma"/>
        </w:rPr>
      </w:pPr>
      <w:r>
        <w:rPr>
          <w:rFonts w:cs="Tahoma"/>
        </w:rPr>
        <w:t>2</w:t>
      </w:r>
      <w:r>
        <w:rPr>
          <w:rFonts w:cs="Tahoma"/>
        </w:rPr>
        <w:t>. Pripažinti</w:t>
      </w:r>
      <w:r>
        <w:t xml:space="preserve"> </w:t>
      </w:r>
      <w:r>
        <w:rPr>
          <w:rFonts w:cs="Tahoma"/>
        </w:rPr>
        <w:t xml:space="preserve">netekusiu galios Lietuvos Respublikos Vyriausybės 2005 m. kovo 17 d. nutarimą Nr. 293 „Dėl Lietuvos Respublikos Vyriausybės 2000 m. gruodžio 15 d. nutarimo Nr. 1458 „Dėl valstybės rinkliavos objektų sąrašo, šios rinkliavos dydžių ir mokėjimo ir grąžinimo taisyklių patvirtinimo“ pakeitimo“ (Žin., 2005, Nr. </w:t>
      </w:r>
      <w:fldSimple w:instr="HYPERLINK https://www.e-tar.lt/portal/lt/legalAct/TAR.E76BF28306A2 \t _blank">
        <w:r>
          <w:rPr>
            <w:rFonts w:cs="Tahoma"/>
            <w:u w:val="single"/>
            <w:color w:val="0000FF" w:themeColor="hyperlink"/>
          </w:rPr>
          <w:t>36-1183</w:t>
        </w:r>
      </w:fldSimple>
      <w:r>
        <w:rPr>
          <w:rFonts w:cs="Tahoma"/>
        </w:rPr>
        <w:t xml:space="preserve">). </w:t>
      </w:r>
    </w:p>
    <w:p>
      <w:pPr>
        <w:ind w:firstLine="567"/>
        <w:jc w:val="both"/>
        <w:rPr>
          <w:rFonts w:cs="Tahoma"/>
        </w:rPr>
      </w:pPr>
      <w:r>
        <w:rPr>
          <w:rFonts w:cs="Tahoma"/>
        </w:rPr>
        <w:t>3</w:t>
      </w:r>
      <w:r>
        <w:rPr>
          <w:rFonts w:cs="Tahoma"/>
        </w:rPr>
        <w:t>. Šis nutarimas įsigalioja 2012 m. kovo 30 dieną.</w:t>
      </w:r>
    </w:p>
    <w:p>
      <w:pPr>
        <w:tabs>
          <w:tab w:val="right" w:pos="9071"/>
        </w:tabs>
        <w:ind w:firstLine="567"/>
        <w:jc w:val="both"/>
      </w:pPr>
    </w:p>
    <w:p>
      <w:pPr>
        <w:tabs>
          <w:tab w:val="right" w:pos="9071"/>
        </w:tabs>
      </w:pPr>
    </w:p>
    <w:p>
      <w:pPr>
        <w:tabs>
          <w:tab w:val="right" w:pos="9071"/>
        </w:tabs>
      </w:pPr>
      <w:r>
        <w:t>MINISTRAS PIRMININKAS</w:t>
        <w:tab/>
        <w:t>ANDRIUS KUBILIUS</w:t>
      </w:r>
    </w:p>
    <w:p>
      <w:pPr>
        <w:tabs>
          <w:tab w:val="right" w:pos="9071"/>
        </w:tabs>
      </w:pPr>
    </w:p>
    <w:p>
      <w:pPr>
        <w:tabs>
          <w:tab w:val="right" w:pos="9071"/>
        </w:tabs>
      </w:pPr>
      <w:r>
        <w:t>FINANSŲ MINISTRĖ</w:t>
        <w:tab/>
        <w:t>INGRIDA ŠIMONYTĖ</w:t>
      </w:r>
    </w:p>
    <w:p>
      <w:pPr>
        <w:tabs>
          <w:tab w:val="right" w:pos="9071"/>
        </w:tabs>
      </w:pPr>
    </w:p>
    <w:p>
      <w:pPr>
        <w:tabs>
          <w:tab w:val="right" w:pos="9071"/>
        </w:tabs>
        <w:jc w:val="center"/>
      </w:pPr>
      <w:r>
        <w:t>_________________</w:t>
      </w:r>
    </w:p>
    <w:p>
      <w:pPr>
        <w:tabs>
          <w:tab w:val="right" w:pos="9071"/>
        </w:tabs>
        <w:ind w:firstLine="709"/>
        <w:jc w:val="both"/>
      </w:pP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9</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1012</Characters>
  <Application>Microsoft Office Word</Application>
  <DocSecurity>4</DocSecurity>
  <Lines>29</Lines>
  <Paragraphs>13</Paragraphs>
  <ScaleCrop>false</ScaleCrop>
  <Company>LRVK</Company>
  <LinksUpToDate>false</LinksUpToDate>
  <CharactersWithSpaces>1163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2015-08-27T19:24:00Z</dcterms:created>
  <dc:creator>lrvk</dc:creator>
  <lastModifiedBy>Adlib User</lastModifiedBy>
  <lastPrinted>2012-03-19T07:18:00Z</lastPrinted>
  <dcterms:modified xsi:type="dcterms:W3CDTF">2015-08-27T19:24:00Z</dcterms:modified>
  <revision>2</revision>
  <dc:title>DĖL LIETUVOS RESPUBLIKOS VYRIAUSYBĖS 2000 M</dc:title>
</coreProperties>
</file>