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6A3CA" w14:textId="77777777" w:rsidR="005765DF" w:rsidRDefault="00D37874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MAŽŲJŲ BENDRIJŲ ĮSTATYMO 21 STRAIPSNIO PAKEITIMO IR ĮSTATYMO PAPILDYMO 6</w:t>
      </w:r>
      <w:r>
        <w:rPr>
          <w:b/>
          <w:bCs/>
          <w:cap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aps/>
          <w:color w:val="000000"/>
          <w:szCs w:val="24"/>
          <w:lang w:eastAsia="lt-LT"/>
        </w:rPr>
        <w:t>, 31</w:t>
      </w:r>
      <w:r>
        <w:rPr>
          <w:b/>
          <w:bCs/>
          <w:cap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aps/>
          <w:color w:val="000000"/>
          <w:szCs w:val="24"/>
          <w:lang w:eastAsia="lt-LT"/>
        </w:rPr>
        <w:t> STRAIPSNIAIS ĮSTATYMAS</w:t>
      </w:r>
    </w:p>
    <w:p w14:paraId="3936A3CB" w14:textId="77777777" w:rsidR="005765DF" w:rsidRDefault="005765DF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p w14:paraId="3936A3CC" w14:textId="77777777" w:rsidR="005765DF" w:rsidRDefault="00D37874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gegužės 16 d. Nr. XII-313 </w:t>
      </w:r>
    </w:p>
    <w:p w14:paraId="3936A3CD" w14:textId="77777777" w:rsidR="005765DF" w:rsidRDefault="00D37874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3936A3CE" w14:textId="77777777" w:rsidR="005765DF" w:rsidRDefault="005765DF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3936A3CF" w14:textId="77777777" w:rsidR="005765DF" w:rsidRDefault="00D37874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2012,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83-4333</w:t>
        </w:r>
      </w:hyperlink>
      <w:r>
        <w:rPr>
          <w:color w:val="000000"/>
          <w:szCs w:val="24"/>
          <w:lang w:eastAsia="lt-LT"/>
        </w:rPr>
        <w:t>)</w:t>
      </w:r>
    </w:p>
    <w:p w14:paraId="3936A3D0" w14:textId="77777777" w:rsidR="005765DF" w:rsidRDefault="005765DF">
      <w:pPr>
        <w:widowControl w:val="0"/>
        <w:ind w:firstLine="567"/>
        <w:jc w:val="both"/>
        <w:rPr>
          <w:szCs w:val="24"/>
          <w:lang w:eastAsia="lt-LT"/>
        </w:rPr>
      </w:pPr>
    </w:p>
    <w:p w14:paraId="3936A3D1" w14:textId="77777777" w:rsidR="005765DF" w:rsidRDefault="00D37874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Įstatymo papildymas 6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> straipsniu</w:t>
      </w:r>
    </w:p>
    <w:p w14:paraId="3936A3D2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Papildyti Įstatymą 6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 straipsniu:</w:t>
      </w:r>
    </w:p>
    <w:p w14:paraId="3936A3D3" w14:textId="77777777" w:rsidR="005765DF" w:rsidRDefault="005765DF">
      <w:pPr>
        <w:widowControl w:val="0"/>
        <w:ind w:firstLine="567"/>
        <w:jc w:val="both"/>
        <w:rPr>
          <w:szCs w:val="24"/>
          <w:lang w:eastAsia="lt-LT"/>
        </w:rPr>
      </w:pPr>
    </w:p>
    <w:p w14:paraId="3936A3D4" w14:textId="77777777" w:rsidR="005765DF" w:rsidRDefault="00D37874">
      <w:pPr>
        <w:widowControl w:val="0"/>
        <w:ind w:firstLine="567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6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Juridinių asmenų dalyvių informacinės sistemos duomenys</w:t>
      </w:r>
    </w:p>
    <w:p w14:paraId="3936A3D5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Juridinių asmenų dalyvių informacinei sistemai teikiami šie duomenys apie mažosios bendrijos narius:</w:t>
      </w:r>
    </w:p>
    <w:p w14:paraId="3936A3D6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mažosios bendrijos nario vardas, pavardė;</w:t>
      </w:r>
    </w:p>
    <w:p w14:paraId="3936A3D7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mažosios bendrijos nario asmens kodas;</w:t>
      </w:r>
    </w:p>
    <w:p w14:paraId="3936A3D8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) mažosios bendrijos nario gyvenamoji vieta arba adresas </w:t>
      </w:r>
      <w:r>
        <w:rPr>
          <w:color w:val="000000"/>
          <w:szCs w:val="24"/>
          <w:lang w:eastAsia="lt-LT"/>
        </w:rPr>
        <w:t>korespondencijai. Jeigu mažosios bendrijos narys mažajai bendrijai yra nurodęs savo gyvenamąją vietą ir adresą korespondencijai, Juridinių asmenų dalyvių informacinei sistemai teikiamas tik adresas korespondencijai;</w:t>
      </w:r>
    </w:p>
    <w:p w14:paraId="3936A3D9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) asmens tapimo mažosios bendrijos </w:t>
      </w:r>
      <w:r>
        <w:rPr>
          <w:color w:val="000000"/>
          <w:szCs w:val="24"/>
          <w:lang w:eastAsia="lt-LT"/>
        </w:rPr>
        <w:t>nariu data ir narystės pabaigos data;</w:t>
      </w:r>
    </w:p>
    <w:p w14:paraId="3936A3DA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) mažosios bendrijos nario įnašo dydis (kai įnašas piniginis) ir (ar) vertė (kai įnašas nepiniginis).</w:t>
      </w:r>
    </w:p>
    <w:p w14:paraId="3936A3DB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 straipsnio 1 dalyje nurodyti duomenys Juridinių asmenų dalyvių informacinei sistemai pateikiami Ju</w:t>
      </w:r>
      <w:r>
        <w:rPr>
          <w:color w:val="000000"/>
          <w:szCs w:val="24"/>
          <w:lang w:eastAsia="lt-LT"/>
        </w:rPr>
        <w:t>ridinių asmenų dalyvių informacinės sistemos nuostatuose nustatyta tvarka ne vėliau kaip per 5 dienas nuo mažosios bendrijos įregistravimo Juridinių asmenų registre dienos, o pasikeitus mažosios bendrijos nariams ar jų duomenims – ne vėliau kaip per 5 dien</w:t>
      </w:r>
      <w:r>
        <w:rPr>
          <w:color w:val="000000"/>
          <w:szCs w:val="24"/>
          <w:lang w:eastAsia="lt-LT"/>
        </w:rPr>
        <w:t>as nuo šių pasikeitimų dienos.</w:t>
      </w:r>
    </w:p>
    <w:p w14:paraId="3936A3DC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Už mažosios bendrijos narių duomenų pateikimą Juridinių asmenų dalyvių informacinei sistemai atsako:</w:t>
      </w:r>
    </w:p>
    <w:p w14:paraId="3936A3DD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mažosios bendrijos vadovas, kai mažoji bendrija turi vienasmenį valdymo organą;</w:t>
      </w:r>
    </w:p>
    <w:p w14:paraId="3936A3DE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mažosios bendrijos atstov</w:t>
      </w:r>
      <w:r>
        <w:rPr>
          <w:color w:val="000000"/>
          <w:szCs w:val="24"/>
          <w:lang w:eastAsia="lt-LT"/>
        </w:rPr>
        <w:t>as, kai mažosios bendrijos narių susirinkimas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yra mažosios bendrijos valdymo organas;</w:t>
      </w:r>
    </w:p>
    <w:p w14:paraId="3936A3DF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) mažosios bendrijos narys, kai mažosios bendrijos narių susirinkimas yra mažosios bendrijos valdymo organas ir mažojoje bendrijoje yra vienas narys.“</w:t>
      </w:r>
    </w:p>
    <w:p w14:paraId="3936A3E0" w14:textId="77777777" w:rsidR="005765DF" w:rsidRDefault="00D37874">
      <w:pPr>
        <w:widowControl w:val="0"/>
        <w:ind w:firstLine="567"/>
        <w:jc w:val="both"/>
        <w:rPr>
          <w:szCs w:val="24"/>
          <w:lang w:eastAsia="lt-LT"/>
        </w:rPr>
      </w:pPr>
    </w:p>
    <w:p w14:paraId="3936A3E1" w14:textId="77777777" w:rsidR="005765DF" w:rsidRDefault="00D37874">
      <w:pPr>
        <w:widowControl w:val="0"/>
        <w:ind w:firstLine="567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21 straipsnio 7 dalies papildymas 9 punktu ir pakeitimas</w:t>
      </w:r>
    </w:p>
    <w:p w14:paraId="3936A3E2" w14:textId="77777777" w:rsidR="005765DF" w:rsidRDefault="00D37874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Papildyti 21 straipsnio 7 dalį nauju 9 punktu:</w:t>
      </w:r>
    </w:p>
    <w:p w14:paraId="3936A3E3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)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teikia Juridinių asmenų dalyvių informacinei sistemai duomenis apie mažosios bendrijos narius;“.</w:t>
      </w:r>
    </w:p>
    <w:p w14:paraId="3936A3E4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Buvusius </w:t>
      </w:r>
      <w:r>
        <w:rPr>
          <w:color w:val="000000"/>
          <w:szCs w:val="24"/>
          <w:lang w:eastAsia="lt-LT"/>
        </w:rPr>
        <w:t>21 straipsnio 7 dalies 9, 10 ir 11 punktus laikyti atitinkamai 10, 11 ir 12 punktais.</w:t>
      </w:r>
    </w:p>
    <w:p w14:paraId="3936A3E5" w14:textId="77777777" w:rsidR="005765DF" w:rsidRDefault="00D37874">
      <w:pPr>
        <w:widowControl w:val="0"/>
        <w:ind w:firstLine="567"/>
        <w:jc w:val="both"/>
        <w:rPr>
          <w:szCs w:val="24"/>
          <w:lang w:eastAsia="lt-LT"/>
        </w:rPr>
      </w:pPr>
    </w:p>
    <w:p w14:paraId="3936A3E6" w14:textId="77777777" w:rsidR="005765DF" w:rsidRDefault="00D37874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Įstatymo papildymas 31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> straipsniu</w:t>
      </w:r>
    </w:p>
    <w:p w14:paraId="3936A3E7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Papildyti Įstatymą 31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 straipsniu:</w:t>
      </w:r>
    </w:p>
    <w:p w14:paraId="3936A3E8" w14:textId="77777777" w:rsidR="005765DF" w:rsidRDefault="005765DF">
      <w:pPr>
        <w:widowControl w:val="0"/>
        <w:ind w:firstLine="567"/>
        <w:jc w:val="both"/>
        <w:rPr>
          <w:szCs w:val="24"/>
          <w:lang w:eastAsia="lt-LT"/>
        </w:rPr>
      </w:pPr>
    </w:p>
    <w:p w14:paraId="3936A3E9" w14:textId="77777777" w:rsidR="005765DF" w:rsidRDefault="00D37874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31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Įstatymo taikymas</w:t>
      </w:r>
    </w:p>
    <w:p w14:paraId="3936A3EA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Mažosios bendrijos, įsteigtos iki </w:t>
      </w:r>
      <w:r>
        <w:rPr>
          <w:color w:val="000000"/>
          <w:szCs w:val="24"/>
          <w:lang w:eastAsia="lt-LT"/>
        </w:rPr>
        <w:t>2013 m. rugsėjo 1 d., šio įstatymo 6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 straipsnyje nurodytus duomenis apie savo narius Juridinių asmenų dalyvių informacinei sistemai pateikia iki 2014 m. sausio 1 d.“</w:t>
      </w:r>
    </w:p>
    <w:p w14:paraId="3936A3EB" w14:textId="77777777" w:rsidR="005765DF" w:rsidRDefault="00D37874">
      <w:pPr>
        <w:widowControl w:val="0"/>
        <w:ind w:firstLine="567"/>
        <w:jc w:val="both"/>
        <w:rPr>
          <w:szCs w:val="24"/>
          <w:lang w:eastAsia="lt-LT"/>
        </w:rPr>
      </w:pPr>
    </w:p>
    <w:p w14:paraId="3936A3EC" w14:textId="77777777" w:rsidR="005765DF" w:rsidRDefault="00D37874" w:rsidP="00D37874">
      <w:pPr>
        <w:widowControl w:val="0"/>
        <w:ind w:left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br w:type="page"/>
      </w:r>
      <w:r>
        <w:rPr>
          <w:b/>
          <w:bCs/>
          <w:color w:val="000000"/>
          <w:szCs w:val="24"/>
          <w:lang w:eastAsia="lt-LT"/>
        </w:rPr>
        <w:t>4</w:t>
      </w:r>
      <w:r>
        <w:rPr>
          <w:b/>
          <w:bCs/>
          <w:color w:val="000000"/>
          <w:szCs w:val="24"/>
          <w:lang w:eastAsia="lt-LT"/>
        </w:rPr>
        <w:t> st</w:t>
      </w:r>
      <w:bookmarkStart w:id="0" w:name="_GoBack"/>
      <w:bookmarkEnd w:id="0"/>
      <w:r>
        <w:rPr>
          <w:b/>
          <w:bCs/>
          <w:color w:val="000000"/>
          <w:szCs w:val="24"/>
          <w:lang w:eastAsia="lt-LT"/>
        </w:rPr>
        <w:t xml:space="preserve">raipsnis. </w:t>
      </w:r>
      <w:r>
        <w:rPr>
          <w:b/>
          <w:bCs/>
          <w:color w:val="000000"/>
          <w:szCs w:val="24"/>
          <w:lang w:eastAsia="lt-LT"/>
        </w:rPr>
        <w:t>Įstatymo įsigaliojimas ir įgyvendinimas</w:t>
      </w:r>
    </w:p>
    <w:p w14:paraId="3936A3ED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Šis įstatymas,</w:t>
      </w:r>
      <w:r>
        <w:rPr>
          <w:color w:val="000000"/>
          <w:szCs w:val="24"/>
          <w:lang w:eastAsia="lt-LT"/>
        </w:rPr>
        <w:t xml:space="preserve"> išskyrus šio straipsnio 2 dalį, įsigalioja 2013 m. rugsėjo 1 d.</w:t>
      </w:r>
    </w:p>
    <w:p w14:paraId="3936A3EE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Lietuvos Respublikos Vyriausybė ar jos įgaliota institucija iki 2013 m. rugsėjo 1 d. priima šio įstatymo įgyvendinamuosius teisės aktus.</w:t>
      </w:r>
    </w:p>
    <w:p w14:paraId="3936A3EF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1CEC2FC7" w14:textId="77777777" w:rsidR="00D37874" w:rsidRDefault="00D37874">
      <w:pPr>
        <w:widowControl w:val="0"/>
        <w:ind w:firstLine="567"/>
        <w:jc w:val="both"/>
      </w:pPr>
    </w:p>
    <w:p w14:paraId="3936A3F0" w14:textId="2BF19912" w:rsidR="005765DF" w:rsidRDefault="00D37874"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</w:t>
      </w:r>
      <w:r>
        <w:rPr>
          <w:i/>
          <w:iCs/>
          <w:color w:val="000000"/>
          <w:szCs w:val="24"/>
          <w:lang w:eastAsia="lt-LT"/>
        </w:rPr>
        <w:t>mtą įstatymą.</w:t>
      </w:r>
    </w:p>
    <w:p w14:paraId="3936A3F1" w14:textId="77777777" w:rsidR="005765DF" w:rsidRDefault="005765DF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3936A3F2" w14:textId="77777777" w:rsidR="005765DF" w:rsidRDefault="00D37874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</w:r>
      <w:r>
        <w:rPr>
          <w:caps/>
          <w:color w:val="000000"/>
          <w:szCs w:val="24"/>
          <w:lang w:eastAsia="lt-LT"/>
        </w:rPr>
        <w:tab/>
        <w:t>DALIA GRYBAUSKAITĖ</w:t>
      </w:r>
    </w:p>
    <w:p w14:paraId="3936A3F3" w14:textId="77777777" w:rsidR="005765DF" w:rsidRDefault="005765DF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3936A3F4" w14:textId="13A8AF62" w:rsidR="005765DF" w:rsidRDefault="005765DF">
      <w:pPr>
        <w:widowControl w:val="0"/>
        <w:jc w:val="center"/>
        <w:rPr>
          <w:color w:val="000000"/>
          <w:szCs w:val="24"/>
          <w:lang w:eastAsia="lt-LT"/>
        </w:rPr>
      </w:pPr>
    </w:p>
    <w:p w14:paraId="3936A3F5" w14:textId="77777777" w:rsidR="005765DF" w:rsidRDefault="00D37874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 w:rsidR="005765DF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3"/>
    <w:rsid w:val="005765DF"/>
    <w:rsid w:val="00D37874"/>
    <w:rsid w:val="00D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A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A1FD809510BB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1947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2015-06-01T11:31:00Z</dcterms:created>
  <dc:creator>Rima</dc:creator>
  <lastModifiedBy>GUMBYTĖ Danguolė</lastModifiedBy>
  <dcterms:modified xsi:type="dcterms:W3CDTF">2015-06-01T12:04:00Z</dcterms:modified>
  <revision>3</revision>
  <dc:title>LIETUVOS RESPUBLIKOS MAŽŲJŲ BENDRIJŲ ĮSTATYMO 21 STRAIPSNIO PAKEITIMO IR ĮSTATYMO PAPILDYMO 61, 311 STRAIPSNIAIS ĮSTATYMAS</dc:title>
</coreProperties>
</file>