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C8053" w14:textId="77777777" w:rsidR="00425CD5" w:rsidRDefault="00AA07B3">
      <w:pPr>
        <w:widowControl w:val="0"/>
        <w:jc w:val="center"/>
        <w:rPr>
          <w:color w:val="000000"/>
          <w:szCs w:val="24"/>
          <w:lang w:eastAsia="lt-LT"/>
        </w:rPr>
      </w:pPr>
      <w:r>
        <w:rPr>
          <w:color w:val="000000"/>
          <w:szCs w:val="24"/>
          <w:lang w:eastAsia="lt-LT"/>
        </w:rPr>
        <w:t>VALSTYBINĖS KAINŲ IR ENERGETIKOS KONTROLĖS KOMISIJOS</w:t>
      </w:r>
    </w:p>
    <w:p w14:paraId="5A2C8054" w14:textId="12A4043C" w:rsidR="00425CD5" w:rsidRDefault="00AA07B3">
      <w:pPr>
        <w:widowControl w:val="0"/>
        <w:jc w:val="center"/>
        <w:rPr>
          <w:caps/>
          <w:color w:val="000000"/>
          <w:szCs w:val="24"/>
          <w:lang w:eastAsia="lt-LT"/>
        </w:rPr>
      </w:pPr>
      <w:r>
        <w:rPr>
          <w:caps/>
          <w:color w:val="000000"/>
          <w:szCs w:val="24"/>
          <w:lang w:eastAsia="lt-LT"/>
        </w:rPr>
        <w:t>NUTARIMAS</w:t>
      </w:r>
    </w:p>
    <w:p w14:paraId="5A2C8055" w14:textId="77777777" w:rsidR="00425CD5" w:rsidRDefault="00425CD5">
      <w:pPr>
        <w:widowControl w:val="0"/>
        <w:jc w:val="center"/>
        <w:rPr>
          <w:b/>
          <w:bCs/>
          <w:caps/>
          <w:color w:val="000000"/>
          <w:szCs w:val="24"/>
          <w:lang w:eastAsia="lt-LT"/>
        </w:rPr>
      </w:pPr>
    </w:p>
    <w:p w14:paraId="5A2C8056" w14:textId="77777777" w:rsidR="00425CD5" w:rsidRDefault="00AA07B3">
      <w:pPr>
        <w:widowControl w:val="0"/>
        <w:jc w:val="center"/>
        <w:rPr>
          <w:b/>
          <w:bCs/>
          <w:caps/>
          <w:color w:val="000000"/>
          <w:szCs w:val="24"/>
          <w:lang w:eastAsia="lt-LT"/>
        </w:rPr>
      </w:pPr>
      <w:r>
        <w:rPr>
          <w:b/>
          <w:bCs/>
          <w:caps/>
          <w:color w:val="000000"/>
          <w:szCs w:val="24"/>
          <w:lang w:eastAsia="lt-LT"/>
        </w:rPr>
        <w:t>DĖL valstybinės kainų ir energetikos kontrolės komisijos 2009 M. liepos 8 d. NUTARIMO Nr. O3-96 „Dėl ŠILUMOS kainų nustatymo metodikos“ pakeitimo</w:t>
      </w:r>
    </w:p>
    <w:p w14:paraId="5A2C8057" w14:textId="77777777" w:rsidR="00425CD5" w:rsidRDefault="00425CD5">
      <w:pPr>
        <w:widowControl w:val="0"/>
        <w:ind w:firstLine="567"/>
        <w:jc w:val="both"/>
        <w:rPr>
          <w:b/>
          <w:bCs/>
          <w:caps/>
          <w:color w:val="000000"/>
          <w:szCs w:val="24"/>
          <w:lang w:eastAsia="lt-LT"/>
        </w:rPr>
      </w:pPr>
    </w:p>
    <w:p w14:paraId="5A2C8058" w14:textId="77777777" w:rsidR="00425CD5" w:rsidRDefault="00AA07B3">
      <w:pPr>
        <w:widowControl w:val="0"/>
        <w:jc w:val="center"/>
        <w:rPr>
          <w:color w:val="000000"/>
          <w:szCs w:val="24"/>
          <w:lang w:eastAsia="lt-LT"/>
        </w:rPr>
      </w:pPr>
      <w:r>
        <w:rPr>
          <w:color w:val="000000"/>
          <w:szCs w:val="24"/>
          <w:lang w:eastAsia="lt-LT"/>
        </w:rPr>
        <w:t>2013 m. birželio 27 d. Nr. O3-256</w:t>
      </w:r>
    </w:p>
    <w:p w14:paraId="5A2C8059" w14:textId="77777777" w:rsidR="00425CD5" w:rsidRDefault="00AA07B3">
      <w:pPr>
        <w:widowControl w:val="0"/>
        <w:jc w:val="center"/>
        <w:rPr>
          <w:color w:val="000000"/>
          <w:szCs w:val="24"/>
          <w:lang w:eastAsia="lt-LT"/>
        </w:rPr>
      </w:pPr>
      <w:r>
        <w:rPr>
          <w:color w:val="000000"/>
          <w:szCs w:val="24"/>
          <w:lang w:eastAsia="lt-LT"/>
        </w:rPr>
        <w:t>Vilnius</w:t>
      </w:r>
    </w:p>
    <w:p w14:paraId="5A2C805A" w14:textId="77777777" w:rsidR="00425CD5" w:rsidRDefault="00425CD5">
      <w:pPr>
        <w:widowControl w:val="0"/>
        <w:ind w:firstLine="567"/>
        <w:jc w:val="both"/>
        <w:rPr>
          <w:color w:val="000000"/>
          <w:szCs w:val="24"/>
          <w:lang w:eastAsia="lt-LT"/>
        </w:rPr>
      </w:pPr>
    </w:p>
    <w:p w14:paraId="5A2C805B" w14:textId="77777777" w:rsidR="00425CD5" w:rsidRDefault="00AA07B3">
      <w:pPr>
        <w:widowControl w:val="0"/>
        <w:ind w:firstLine="567"/>
        <w:jc w:val="both"/>
        <w:rPr>
          <w:color w:val="000000"/>
          <w:szCs w:val="24"/>
          <w:lang w:eastAsia="lt-LT"/>
        </w:rPr>
      </w:pPr>
      <w:r>
        <w:rPr>
          <w:color w:val="000000"/>
          <w:szCs w:val="24"/>
          <w:lang w:eastAsia="lt-LT"/>
        </w:rPr>
        <w:t>Vadovaudamasi Lietuvos Respublikos energetikos įstatymo (Žin., 2002, Nr. </w:t>
      </w:r>
      <w:hyperlink r:id="rId6" w:tgtFrame="_blank" w:history="1">
        <w:r>
          <w:rPr>
            <w:color w:val="0000FF" w:themeColor="hyperlink"/>
            <w:szCs w:val="24"/>
            <w:u w:val="single"/>
            <w:lang w:eastAsia="lt-LT"/>
          </w:rPr>
          <w:t>56-2224</w:t>
        </w:r>
      </w:hyperlink>
      <w:r>
        <w:rPr>
          <w:color w:val="000000"/>
          <w:szCs w:val="24"/>
          <w:lang w:eastAsia="lt-LT"/>
        </w:rPr>
        <w:t>; 2011, Nr. </w:t>
      </w:r>
      <w:hyperlink r:id="rId7" w:tgtFrame="_blank" w:history="1">
        <w:r>
          <w:rPr>
            <w:color w:val="0000FF" w:themeColor="hyperlink"/>
            <w:szCs w:val="24"/>
            <w:u w:val="single"/>
            <w:lang w:eastAsia="lt-LT"/>
          </w:rPr>
          <w:t>160-7576</w:t>
        </w:r>
      </w:hyperlink>
      <w:r>
        <w:rPr>
          <w:color w:val="000000"/>
          <w:szCs w:val="24"/>
          <w:lang w:eastAsia="lt-LT"/>
        </w:rPr>
        <w:t>) 8 straipsnio 9 dalies 2 punktu, Lietuvos Respublikos šilumos ūkio įstatymo (Žin., 2003, Nr. </w:t>
      </w:r>
      <w:hyperlink r:id="rId8" w:tgtFrame="_blank" w:history="1">
        <w:r>
          <w:rPr>
            <w:color w:val="0000FF" w:themeColor="hyperlink"/>
            <w:szCs w:val="24"/>
            <w:u w:val="single"/>
            <w:lang w:eastAsia="lt-LT"/>
          </w:rPr>
          <w:t>51-2254</w:t>
        </w:r>
      </w:hyperlink>
      <w:r>
        <w:rPr>
          <w:color w:val="000000"/>
          <w:szCs w:val="24"/>
          <w:lang w:eastAsia="lt-LT"/>
        </w:rPr>
        <w:t>; 2007, Nr. </w:t>
      </w:r>
      <w:hyperlink r:id="rId9" w:tgtFrame="_blank" w:history="1">
        <w:r>
          <w:rPr>
            <w:color w:val="0000FF" w:themeColor="hyperlink"/>
            <w:szCs w:val="24"/>
            <w:u w:val="single"/>
            <w:lang w:eastAsia="lt-LT"/>
          </w:rPr>
          <w:t>130-5259</w:t>
        </w:r>
      </w:hyperlink>
      <w:r>
        <w:rPr>
          <w:color w:val="000000"/>
          <w:szCs w:val="24"/>
          <w:lang w:eastAsia="lt-LT"/>
        </w:rPr>
        <w:t>; 2009, Nr. </w:t>
      </w:r>
      <w:hyperlink r:id="rId10" w:tgtFrame="_blank" w:history="1">
        <w:r>
          <w:rPr>
            <w:color w:val="0000FF" w:themeColor="hyperlink"/>
            <w:szCs w:val="24"/>
            <w:u w:val="single"/>
            <w:lang w:eastAsia="lt-LT"/>
          </w:rPr>
          <w:t>61-2402</w:t>
        </w:r>
      </w:hyperlink>
      <w:r>
        <w:rPr>
          <w:color w:val="000000"/>
          <w:szCs w:val="24"/>
          <w:lang w:eastAsia="lt-LT"/>
        </w:rPr>
        <w:t>; 2011, Nr. </w:t>
      </w:r>
      <w:hyperlink r:id="rId11" w:tgtFrame="_blank" w:history="1">
        <w:r>
          <w:rPr>
            <w:color w:val="0000FF" w:themeColor="hyperlink"/>
            <w:szCs w:val="24"/>
            <w:u w:val="single"/>
            <w:lang w:eastAsia="lt-LT"/>
          </w:rPr>
          <w:t>123-5816</w:t>
        </w:r>
      </w:hyperlink>
      <w:r>
        <w:rPr>
          <w:color w:val="000000"/>
          <w:szCs w:val="24"/>
          <w:lang w:eastAsia="lt-LT"/>
        </w:rPr>
        <w:t>; 2012, Nr. </w:t>
      </w:r>
      <w:hyperlink r:id="rId12" w:tgtFrame="_blank" w:history="1">
        <w:r>
          <w:rPr>
            <w:color w:val="0000FF" w:themeColor="hyperlink"/>
            <w:szCs w:val="24"/>
            <w:u w:val="single"/>
            <w:lang w:eastAsia="lt-LT"/>
          </w:rPr>
          <w:t>79-4088</w:t>
        </w:r>
      </w:hyperlink>
      <w:r>
        <w:rPr>
          <w:color w:val="000000"/>
          <w:szCs w:val="24"/>
          <w:lang w:eastAsia="lt-LT"/>
        </w:rPr>
        <w:t>) 32 straipsniu ir atsižvelgdama į Valstybinės kainų ir energetikos kontrolės komisijos (toliau – Komisija) Šilumos ir vandens departamento Kainų ir investicijų skyriaus 2013 m. birželio 11 d. pažymą Nr. O5-209 „Dėl Valstybinės kainų ir energetikos kontrolės komisijos 2009 m. liepos 8 d. nutarimo Nr. O3-96 ir 2013 m. vasario 28 d. nutarimo Nr. O3-73 pakeitimo“ (toliau – Nutarimas), Komisija n u t a r i a:</w:t>
      </w:r>
    </w:p>
    <w:p w14:paraId="5A2C805C" w14:textId="77777777" w:rsidR="00425CD5" w:rsidRDefault="007240D4">
      <w:pPr>
        <w:widowControl w:val="0"/>
        <w:ind w:firstLine="567"/>
        <w:jc w:val="both"/>
        <w:rPr>
          <w:color w:val="000000"/>
          <w:szCs w:val="24"/>
          <w:lang w:eastAsia="lt-LT"/>
        </w:rPr>
      </w:pPr>
      <w:r w:rsidR="00AA07B3">
        <w:rPr>
          <w:color w:val="000000"/>
          <w:szCs w:val="24"/>
          <w:lang w:eastAsia="lt-LT"/>
        </w:rPr>
        <w:t>1</w:t>
      </w:r>
      <w:r w:rsidR="00AA07B3">
        <w:rPr>
          <w:color w:val="000000"/>
          <w:szCs w:val="24"/>
          <w:lang w:eastAsia="lt-LT"/>
        </w:rPr>
        <w:t>. Pakeisti Šilumos kainų nustatymo metodikos, patvirtintos Komisijos 2009 m. liepos 8 d. nutarimu Nr. O3-96 (Žin., 2009, Nr. </w:t>
      </w:r>
      <w:hyperlink r:id="rId13" w:tgtFrame="_blank" w:history="1">
        <w:r w:rsidR="00AA07B3">
          <w:rPr>
            <w:color w:val="0000FF" w:themeColor="hyperlink"/>
            <w:szCs w:val="24"/>
            <w:u w:val="single"/>
            <w:lang w:eastAsia="lt-LT"/>
          </w:rPr>
          <w:t>92-3959</w:t>
        </w:r>
      </w:hyperlink>
      <w:r w:rsidR="00AA07B3">
        <w:rPr>
          <w:color w:val="000000"/>
          <w:szCs w:val="24"/>
          <w:lang w:eastAsia="lt-LT"/>
        </w:rPr>
        <w:t>) (toliau – Metodika), 78 punktą ir jį išdėstyti taip:</w:t>
      </w:r>
    </w:p>
    <w:p w14:paraId="5A2C805D" w14:textId="77777777" w:rsidR="00425CD5" w:rsidRDefault="00AA07B3">
      <w:pPr>
        <w:widowControl w:val="0"/>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78</w:t>
      </w:r>
      <w:r>
        <w:rPr>
          <w:color w:val="000000"/>
          <w:spacing w:val="-2"/>
          <w:szCs w:val="24"/>
          <w:lang w:eastAsia="lt-LT"/>
        </w:rPr>
        <w:t>. Skaičiuojant šilumos bazinių kainų dedamąsias, planuojamas realizuoti šilumos kiekis (Q) nustatomas įvertinus per paskutinius praėjusius trejus kalendorinius metus ties gyvenamųjų namų ir kitų pastatų tiekimo–vartojimo riba užfiksuotą šilumos kiekį, priežastis, lėmusias šio</w:t>
      </w:r>
      <w:r>
        <w:rPr>
          <w:b/>
          <w:bCs/>
          <w:color w:val="000000"/>
          <w:spacing w:val="-2"/>
          <w:szCs w:val="24"/>
          <w:lang w:eastAsia="lt-LT"/>
        </w:rPr>
        <w:t xml:space="preserve"> </w:t>
      </w:r>
      <w:r>
        <w:rPr>
          <w:color w:val="000000"/>
          <w:spacing w:val="-2"/>
          <w:szCs w:val="24"/>
          <w:lang w:eastAsia="lt-LT"/>
        </w:rPr>
        <w:t>šilumos kiekio pasikeitimą, prognozuojamą šilumos suvartojimo pasikeitimą bei atsižvelgiant į norminius šilumos kiekius patalpų šildymui ir technologinėms reikmėms pagal šilumnešio rūšį ir vartotojų grupes.“</w:t>
      </w:r>
    </w:p>
    <w:p w14:paraId="5A2C805E" w14:textId="77777777" w:rsidR="00425CD5" w:rsidRDefault="007240D4">
      <w:pPr>
        <w:widowControl w:val="0"/>
        <w:ind w:firstLine="567"/>
        <w:jc w:val="both"/>
        <w:rPr>
          <w:color w:val="000000"/>
          <w:szCs w:val="24"/>
          <w:lang w:eastAsia="lt-LT"/>
        </w:rPr>
      </w:pPr>
      <w:r w:rsidR="00AA07B3">
        <w:rPr>
          <w:color w:val="000000"/>
          <w:szCs w:val="24"/>
          <w:lang w:eastAsia="lt-LT"/>
        </w:rPr>
        <w:t>2</w:t>
      </w:r>
      <w:r w:rsidR="00AA07B3">
        <w:rPr>
          <w:color w:val="000000"/>
          <w:szCs w:val="24"/>
          <w:lang w:eastAsia="lt-LT"/>
        </w:rPr>
        <w:t>. Pakeisti Metodikos 79 punktą ir jį išdėstyti taip:</w:t>
      </w:r>
    </w:p>
    <w:p w14:paraId="5A2C805F" w14:textId="77777777" w:rsidR="00425CD5" w:rsidRDefault="00AA07B3">
      <w:pPr>
        <w:widowControl w:val="0"/>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79</w:t>
      </w:r>
      <w:r>
        <w:rPr>
          <w:color w:val="000000"/>
          <w:spacing w:val="-2"/>
          <w:szCs w:val="24"/>
          <w:lang w:eastAsia="lt-LT"/>
        </w:rPr>
        <w:t>. Būtinas patiekti į šilumos perdavimo tinklą šilumos kiekis skaičiuojamas prie planuojamo realizuoti šilumos kiekio (Q) pridėjus norminius šilumos perdavimo technologinius nuostolius bei šilumos energiją, suvartotą savoms administracinėms reikmėms. Norminiai šilumos perdavimo technologiniai nuostoliai skaičiuojami pagal ūkio ministro patvirtintą Šilumos tiekimo vamzdynų nuostolių nustatymo metodiką. Komisija, vadovaudamasi atitinkamos šilumos tiekėjų grupės lyginamosios analizės rodikliais, turi teisę šilumos tiekimo įmonėms nustatyti užduotis šilumos perdavimo technologiniams nuostoliams mažinti.“</w:t>
      </w:r>
    </w:p>
    <w:p w14:paraId="5A2C8060" w14:textId="77777777" w:rsidR="00425CD5" w:rsidRDefault="007240D4">
      <w:pPr>
        <w:widowControl w:val="0"/>
        <w:ind w:firstLine="567"/>
        <w:jc w:val="both"/>
        <w:rPr>
          <w:color w:val="000000"/>
          <w:szCs w:val="24"/>
          <w:lang w:eastAsia="lt-LT"/>
        </w:rPr>
      </w:pPr>
      <w:r w:rsidR="00AA07B3">
        <w:rPr>
          <w:color w:val="000000"/>
          <w:szCs w:val="24"/>
          <w:lang w:eastAsia="lt-LT"/>
        </w:rPr>
        <w:t>3</w:t>
      </w:r>
      <w:r w:rsidR="00AA07B3">
        <w:rPr>
          <w:color w:val="000000"/>
          <w:szCs w:val="24"/>
          <w:lang w:eastAsia="lt-LT"/>
        </w:rPr>
        <w:t>. Pakeisti Metodikos 104.1 punktą ir jį išdėstyti taip:</w:t>
      </w:r>
    </w:p>
    <w:p w14:paraId="5A2C8061" w14:textId="77777777" w:rsidR="00425CD5" w:rsidRDefault="00AA07B3">
      <w:pPr>
        <w:widowControl w:val="0"/>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104.1</w:t>
      </w:r>
      <w:r>
        <w:rPr>
          <w:color w:val="000000"/>
          <w:spacing w:val="-2"/>
          <w:szCs w:val="24"/>
          <w:lang w:eastAsia="lt-LT"/>
        </w:rPr>
        <w:t>. šilumos perdavimo vienanarės kainos (iki pastato šilumos įvado) pastovioji dedamoji skaičiuojama pagal priklausomybę:</w:t>
      </w:r>
    </w:p>
    <w:p w14:paraId="5A2C8062" w14:textId="77777777" w:rsidR="00425CD5" w:rsidRDefault="00425CD5">
      <w:pPr>
        <w:widowControl w:val="0"/>
        <w:ind w:firstLine="567"/>
        <w:jc w:val="both"/>
        <w:rPr>
          <w:color w:val="000000"/>
          <w:spacing w:val="-2"/>
          <w:szCs w:val="24"/>
          <w:lang w:eastAsia="lt-LT"/>
        </w:rPr>
      </w:pPr>
    </w:p>
    <w:p w14:paraId="5A2C8063" w14:textId="39432D97" w:rsidR="00425CD5" w:rsidRDefault="00781632">
      <w:pPr>
        <w:widowControl w:val="0"/>
        <w:tabs>
          <w:tab w:val="right" w:pos="9071"/>
        </w:tabs>
        <w:ind w:firstLine="567"/>
        <w:jc w:val="both"/>
        <w:rPr>
          <w:color w:val="000000"/>
          <w:szCs w:val="24"/>
          <w:lang w:eastAsia="lt-LT"/>
        </w:rPr>
      </w:pPr>
      <w:r w:rsidRPr="00781632">
        <w:rPr>
          <w:noProof/>
          <w:lang w:eastAsia="lt-LT"/>
        </w:rPr>
        <w:drawing>
          <wp:inline distT="0" distB="0" distL="0" distR="0" wp14:anchorId="6971FCEB" wp14:editId="47E009C7">
            <wp:extent cx="176339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a:ln>
                      <a:noFill/>
                    </a:ln>
                  </pic:spPr>
                </pic:pic>
              </a:graphicData>
            </a:graphic>
          </wp:inline>
        </w:drawing>
      </w:r>
      <w:r w:rsidR="00AA07B3">
        <w:rPr>
          <w:color w:val="000000"/>
          <w:szCs w:val="24"/>
          <w:lang w:eastAsia="lt-LT"/>
        </w:rPr>
        <w:t>; (ct/</w:t>
      </w:r>
      <w:proofErr w:type="spellStart"/>
      <w:r w:rsidR="00AA07B3">
        <w:rPr>
          <w:color w:val="000000"/>
          <w:szCs w:val="24"/>
          <w:lang w:eastAsia="lt-LT"/>
        </w:rPr>
        <w:t>kWh</w:t>
      </w:r>
      <w:proofErr w:type="spellEnd"/>
      <w:r w:rsidR="00AA07B3">
        <w:rPr>
          <w:color w:val="000000"/>
          <w:szCs w:val="24"/>
          <w:lang w:eastAsia="lt-LT"/>
        </w:rPr>
        <w:t>)</w:t>
      </w:r>
      <w:r w:rsidR="00AA07B3">
        <w:rPr>
          <w:color w:val="000000"/>
          <w:szCs w:val="24"/>
          <w:lang w:eastAsia="lt-LT"/>
        </w:rPr>
        <w:tab/>
        <w:t>(24)</w:t>
      </w:r>
    </w:p>
    <w:p w14:paraId="5A2C8064" w14:textId="77777777" w:rsidR="00425CD5" w:rsidRDefault="00AA07B3">
      <w:pPr>
        <w:widowControl w:val="0"/>
        <w:ind w:firstLine="567"/>
        <w:jc w:val="both"/>
        <w:rPr>
          <w:color w:val="000000"/>
          <w:szCs w:val="24"/>
          <w:lang w:eastAsia="lt-LT"/>
        </w:rPr>
      </w:pPr>
      <w:r>
        <w:rPr>
          <w:color w:val="000000"/>
          <w:szCs w:val="24"/>
          <w:lang w:eastAsia="lt-LT"/>
        </w:rPr>
        <w:t>čia</w:t>
      </w:r>
    </w:p>
    <w:p w14:paraId="5A2C8065" w14:textId="77777777" w:rsidR="00425CD5" w:rsidRDefault="00AA07B3">
      <w:pPr>
        <w:widowControl w:val="0"/>
        <w:ind w:firstLine="567"/>
        <w:jc w:val="both"/>
        <w:rPr>
          <w:color w:val="000000"/>
          <w:szCs w:val="24"/>
          <w:lang w:eastAsia="lt-LT"/>
        </w:rPr>
      </w:pPr>
      <w:r>
        <w:rPr>
          <w:b/>
          <w:bCs/>
          <w:i/>
          <w:iCs/>
          <w:color w:val="000000"/>
          <w:szCs w:val="24"/>
          <w:lang w:eastAsia="lt-LT"/>
        </w:rPr>
        <w:t>S</w:t>
      </w:r>
      <w:r>
        <w:rPr>
          <w:b/>
          <w:bCs/>
          <w:i/>
          <w:iCs/>
          <w:color w:val="000000"/>
          <w:szCs w:val="24"/>
          <w:vertAlign w:val="subscript"/>
          <w:lang w:eastAsia="lt-LT"/>
        </w:rPr>
        <w:t>pr p</w:t>
      </w:r>
      <w:r>
        <w:rPr>
          <w:color w:val="000000"/>
          <w:szCs w:val="24"/>
          <w:lang w:eastAsia="lt-LT"/>
        </w:rPr>
        <w:t> – pastoviųjų sąnaudų dalis, priskirta šilumos perdavimo veiklai, tūkst. Lt;</w:t>
      </w:r>
    </w:p>
    <w:p w14:paraId="5A2C8066" w14:textId="77777777" w:rsidR="00425CD5" w:rsidRDefault="00AA07B3">
      <w:pPr>
        <w:widowControl w:val="0"/>
        <w:ind w:firstLine="567"/>
        <w:jc w:val="both"/>
        <w:rPr>
          <w:color w:val="000000"/>
          <w:szCs w:val="24"/>
          <w:lang w:eastAsia="lt-LT"/>
        </w:rPr>
      </w:pPr>
      <w:r>
        <w:rPr>
          <w:b/>
          <w:bCs/>
          <w:i/>
          <w:iCs/>
          <w:color w:val="000000"/>
          <w:szCs w:val="24"/>
          <w:lang w:eastAsia="lt-LT"/>
        </w:rPr>
        <w:t>S</w:t>
      </w:r>
      <w:r>
        <w:rPr>
          <w:b/>
          <w:bCs/>
          <w:i/>
          <w:iCs/>
          <w:color w:val="000000"/>
          <w:szCs w:val="24"/>
          <w:vertAlign w:val="subscript"/>
          <w:lang w:eastAsia="lt-LT"/>
        </w:rPr>
        <w:t>pr veikl</w:t>
      </w:r>
      <w:r>
        <w:rPr>
          <w:color w:val="000000"/>
          <w:szCs w:val="24"/>
          <w:lang w:eastAsia="lt-LT"/>
        </w:rPr>
        <w:t> – veiklos sąnaudų dalis, priskirta šilumos perdavimui, tūkst. Lt;</w:t>
      </w:r>
    </w:p>
    <w:p w14:paraId="5A2C8067" w14:textId="77777777" w:rsidR="00425CD5" w:rsidRDefault="00AA07B3">
      <w:pPr>
        <w:widowControl w:val="0"/>
        <w:ind w:firstLine="567"/>
        <w:jc w:val="both"/>
        <w:rPr>
          <w:color w:val="000000"/>
          <w:szCs w:val="24"/>
          <w:lang w:eastAsia="lt-LT"/>
        </w:rPr>
      </w:pPr>
      <w:r>
        <w:rPr>
          <w:b/>
          <w:bCs/>
          <w:i/>
          <w:iCs/>
          <w:color w:val="000000"/>
          <w:szCs w:val="24"/>
          <w:lang w:eastAsia="lt-LT"/>
        </w:rPr>
        <w:t>NP</w:t>
      </w:r>
      <w:r>
        <w:rPr>
          <w:b/>
          <w:bCs/>
          <w:i/>
          <w:iCs/>
          <w:color w:val="000000"/>
          <w:szCs w:val="24"/>
          <w:vertAlign w:val="subscript"/>
          <w:lang w:eastAsia="lt-LT"/>
        </w:rPr>
        <w:t>pr</w:t>
      </w:r>
      <w:r>
        <w:rPr>
          <w:color w:val="000000"/>
          <w:szCs w:val="24"/>
          <w:lang w:eastAsia="lt-LT"/>
        </w:rPr>
        <w:t> – šilumos perdavimo normatyvinis pelnas, tūkst. Lt;</w:t>
      </w:r>
    </w:p>
    <w:p w14:paraId="5A2C8068" w14:textId="77777777" w:rsidR="00425CD5" w:rsidRDefault="00AA07B3">
      <w:pPr>
        <w:widowControl w:val="0"/>
        <w:ind w:firstLine="567"/>
        <w:jc w:val="both"/>
        <w:rPr>
          <w:color w:val="000000"/>
          <w:szCs w:val="24"/>
          <w:lang w:eastAsia="lt-LT"/>
        </w:rPr>
      </w:pPr>
      <w:r>
        <w:rPr>
          <w:b/>
          <w:bCs/>
          <w:i/>
          <w:iCs/>
          <w:color w:val="000000"/>
          <w:szCs w:val="24"/>
          <w:lang w:eastAsia="lt-LT"/>
        </w:rPr>
        <w:t>Q</w:t>
      </w:r>
      <w:r>
        <w:rPr>
          <w:color w:val="000000"/>
          <w:szCs w:val="24"/>
          <w:lang w:eastAsia="lt-LT"/>
        </w:rPr>
        <w:t> – šilumos kiekis ties gyvenamųjų namų ir kitų pastatų tiekimo–vartojimo riba, tūkst. MWh;“.</w:t>
      </w:r>
    </w:p>
    <w:p w14:paraId="5A2C8069" w14:textId="77777777" w:rsidR="00425CD5" w:rsidRDefault="007240D4">
      <w:pPr>
        <w:widowControl w:val="0"/>
        <w:ind w:firstLine="567"/>
        <w:jc w:val="both"/>
        <w:rPr>
          <w:color w:val="000000"/>
          <w:szCs w:val="24"/>
          <w:lang w:eastAsia="lt-LT"/>
        </w:rPr>
      </w:pPr>
      <w:r w:rsidR="00AA07B3">
        <w:rPr>
          <w:color w:val="000000"/>
          <w:szCs w:val="24"/>
          <w:lang w:eastAsia="lt-LT"/>
        </w:rPr>
        <w:t>4</w:t>
      </w:r>
      <w:r w:rsidR="00AA07B3">
        <w:rPr>
          <w:color w:val="000000"/>
          <w:szCs w:val="24"/>
          <w:lang w:eastAsia="lt-LT"/>
        </w:rPr>
        <w:t>. Pakeisti Metodikos 115.1 punktą ir jį išdėstyti taip:</w:t>
      </w:r>
    </w:p>
    <w:p w14:paraId="5A2C806A" w14:textId="77777777" w:rsidR="00425CD5" w:rsidRDefault="00AA07B3">
      <w:pPr>
        <w:widowControl w:val="0"/>
        <w:ind w:firstLine="567"/>
        <w:jc w:val="both"/>
        <w:rPr>
          <w:color w:val="000000"/>
          <w:szCs w:val="24"/>
          <w:lang w:eastAsia="lt-LT"/>
        </w:rPr>
      </w:pPr>
      <w:r>
        <w:rPr>
          <w:color w:val="000000"/>
          <w:szCs w:val="24"/>
          <w:lang w:eastAsia="lt-LT"/>
        </w:rPr>
        <w:t>„</w:t>
      </w:r>
      <w:r>
        <w:rPr>
          <w:color w:val="000000"/>
          <w:szCs w:val="24"/>
          <w:lang w:eastAsia="lt-LT"/>
        </w:rPr>
        <w:t>115.1</w:t>
      </w:r>
      <w:r>
        <w:rPr>
          <w:color w:val="000000"/>
          <w:szCs w:val="24"/>
          <w:lang w:eastAsia="lt-LT"/>
        </w:rPr>
        <w:t>. realizuotos šilumos kiekio pokyčio koregavimo koeficientas skaičiuojamas pagal priklausomybę:</w:t>
      </w:r>
    </w:p>
    <w:p w14:paraId="5A2C806B" w14:textId="77777777" w:rsidR="00425CD5" w:rsidRDefault="00425CD5">
      <w:pPr>
        <w:widowControl w:val="0"/>
        <w:ind w:firstLine="567"/>
        <w:jc w:val="both"/>
        <w:rPr>
          <w:b/>
          <w:bCs/>
          <w:color w:val="000000"/>
          <w:szCs w:val="24"/>
          <w:lang w:eastAsia="lt-LT"/>
        </w:rPr>
      </w:pPr>
    </w:p>
    <w:p w14:paraId="5A2C806C" w14:textId="6138D1BF" w:rsidR="00425CD5" w:rsidRDefault="00781632">
      <w:pPr>
        <w:widowControl w:val="0"/>
        <w:tabs>
          <w:tab w:val="right" w:pos="9071"/>
        </w:tabs>
        <w:ind w:firstLine="567"/>
        <w:rPr>
          <w:color w:val="000000"/>
          <w:szCs w:val="24"/>
          <w:lang w:eastAsia="lt-LT"/>
        </w:rPr>
      </w:pPr>
      <w:r w:rsidRPr="00781632">
        <w:rPr>
          <w:noProof/>
          <w:lang w:eastAsia="lt-LT"/>
        </w:rPr>
        <w:lastRenderedPageBreak/>
        <w:drawing>
          <wp:inline distT="0" distB="0" distL="0" distR="0" wp14:anchorId="782AF64B" wp14:editId="764FA0C4">
            <wp:extent cx="1254125" cy="431165"/>
            <wp:effectExtent l="0" t="0" r="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4125" cy="431165"/>
                    </a:xfrm>
                    <a:prstGeom prst="rect">
                      <a:avLst/>
                    </a:prstGeom>
                    <a:noFill/>
                    <a:ln>
                      <a:noFill/>
                    </a:ln>
                  </pic:spPr>
                </pic:pic>
              </a:graphicData>
            </a:graphic>
          </wp:inline>
        </w:drawing>
      </w:r>
      <w:r w:rsidR="00AA07B3">
        <w:rPr>
          <w:color w:val="000000"/>
          <w:szCs w:val="24"/>
          <w:lang w:eastAsia="lt-LT"/>
        </w:rPr>
        <w:t>;</w:t>
      </w:r>
      <w:r w:rsidR="00AA07B3">
        <w:rPr>
          <w:color w:val="000000"/>
          <w:szCs w:val="24"/>
          <w:lang w:eastAsia="lt-LT"/>
        </w:rPr>
        <w:tab/>
        <w:t>(39)</w:t>
      </w:r>
    </w:p>
    <w:p w14:paraId="5A2C806D" w14:textId="77777777" w:rsidR="00425CD5" w:rsidRDefault="00425CD5">
      <w:pPr>
        <w:widowControl w:val="0"/>
        <w:tabs>
          <w:tab w:val="right" w:pos="9071"/>
        </w:tabs>
        <w:ind w:firstLine="567"/>
        <w:rPr>
          <w:color w:val="000000"/>
          <w:szCs w:val="24"/>
          <w:lang w:eastAsia="lt-LT"/>
        </w:rPr>
      </w:pPr>
    </w:p>
    <w:p w14:paraId="5A2C806E" w14:textId="77777777" w:rsidR="00425CD5" w:rsidRDefault="00AA07B3">
      <w:pPr>
        <w:widowControl w:val="0"/>
        <w:ind w:firstLine="567"/>
        <w:jc w:val="both"/>
        <w:rPr>
          <w:color w:val="000000"/>
          <w:szCs w:val="24"/>
          <w:lang w:eastAsia="lt-LT"/>
        </w:rPr>
      </w:pPr>
      <w:r>
        <w:rPr>
          <w:color w:val="000000"/>
          <w:szCs w:val="24"/>
          <w:lang w:eastAsia="lt-LT"/>
        </w:rPr>
        <w:t>čia</w:t>
      </w:r>
    </w:p>
    <w:p w14:paraId="5A2C806F" w14:textId="77777777" w:rsidR="00425CD5" w:rsidRDefault="00AA07B3">
      <w:pPr>
        <w:widowControl w:val="0"/>
        <w:ind w:firstLine="567"/>
        <w:jc w:val="both"/>
        <w:rPr>
          <w:color w:val="000000"/>
          <w:szCs w:val="24"/>
          <w:lang w:eastAsia="lt-LT"/>
        </w:rPr>
      </w:pPr>
      <w:r>
        <w:rPr>
          <w:b/>
          <w:bCs/>
          <w:i/>
          <w:iCs/>
          <w:color w:val="000000"/>
          <w:szCs w:val="24"/>
          <w:lang w:eastAsia="lt-LT"/>
        </w:rPr>
        <w:t>L</w:t>
      </w:r>
      <w:r>
        <w:rPr>
          <w:b/>
          <w:bCs/>
          <w:i/>
          <w:iCs/>
          <w:color w:val="000000"/>
          <w:szCs w:val="24"/>
          <w:vertAlign w:val="subscript"/>
          <w:lang w:eastAsia="lt-LT"/>
        </w:rPr>
        <w:t>p veikl</w:t>
      </w:r>
      <w:r>
        <w:rPr>
          <w:color w:val="000000"/>
          <w:szCs w:val="24"/>
          <w:vertAlign w:val="subscript"/>
          <w:lang w:eastAsia="lt-LT"/>
        </w:rPr>
        <w:t>. </w:t>
      </w:r>
      <w:r>
        <w:rPr>
          <w:color w:val="000000"/>
          <w:szCs w:val="24"/>
          <w:lang w:eastAsia="lt-LT"/>
        </w:rPr>
        <w:t>– šilumos bazinės kainos pastoviųjų dedamųjų skaičiavimuose numatyta pastovių sąnaudų dalis (atitinkamos dedamosios pastoviųjų sąnaudų santykis su pastoviomis sąnaudomis bei pelnu);</w:t>
      </w:r>
    </w:p>
    <w:p w14:paraId="5A2C8070" w14:textId="77777777" w:rsidR="00425CD5" w:rsidRDefault="00AA07B3">
      <w:pPr>
        <w:widowControl w:val="0"/>
        <w:ind w:firstLine="567"/>
        <w:jc w:val="both"/>
        <w:rPr>
          <w:color w:val="000000"/>
          <w:szCs w:val="24"/>
          <w:lang w:eastAsia="lt-LT"/>
        </w:rPr>
      </w:pPr>
      <w:r>
        <w:rPr>
          <w:b/>
          <w:bCs/>
          <w:i/>
          <w:iCs/>
          <w:color w:val="000000"/>
          <w:szCs w:val="24"/>
          <w:lang w:eastAsia="lt-LT"/>
        </w:rPr>
        <w:t>Q</w:t>
      </w:r>
      <w:r>
        <w:rPr>
          <w:b/>
          <w:bCs/>
          <w:i/>
          <w:iCs/>
          <w:color w:val="000000"/>
          <w:szCs w:val="24"/>
          <w:vertAlign w:val="subscript"/>
          <w:lang w:eastAsia="lt-LT"/>
        </w:rPr>
        <w:t>t</w:t>
      </w:r>
      <w:r>
        <w:rPr>
          <w:color w:val="000000"/>
          <w:szCs w:val="24"/>
          <w:lang w:eastAsia="lt-LT"/>
        </w:rPr>
        <w:t> – šilumos kiekis ties gyvenamųjų namų ir kitų pastatų tiekimo–vartojimo riba šilumos kainos dedamųjų perskaičiavimo ataskaitiniu laikotarpiu, tūkst. MWh;“.</w:t>
      </w:r>
    </w:p>
    <w:p w14:paraId="5A2C8071" w14:textId="77777777" w:rsidR="00425CD5" w:rsidRDefault="007240D4">
      <w:pPr>
        <w:widowControl w:val="0"/>
        <w:ind w:firstLine="567"/>
        <w:jc w:val="both"/>
        <w:rPr>
          <w:color w:val="000000"/>
          <w:szCs w:val="24"/>
          <w:lang w:eastAsia="lt-LT"/>
        </w:rPr>
      </w:pPr>
      <w:r w:rsidR="00AA07B3">
        <w:rPr>
          <w:color w:val="000000"/>
          <w:szCs w:val="24"/>
          <w:lang w:eastAsia="lt-LT"/>
        </w:rPr>
        <w:t>5</w:t>
      </w:r>
      <w:r w:rsidR="00AA07B3">
        <w:rPr>
          <w:color w:val="000000"/>
          <w:szCs w:val="24"/>
          <w:lang w:eastAsia="lt-LT"/>
        </w:rPr>
        <w:t>. Pripažinti Metodikos 118.6 punktą netekusiu galios.</w:t>
      </w:r>
    </w:p>
    <w:p w14:paraId="5A2C8072" w14:textId="77777777" w:rsidR="00425CD5" w:rsidRDefault="007240D4">
      <w:pPr>
        <w:widowControl w:val="0"/>
        <w:ind w:firstLine="567"/>
        <w:jc w:val="both"/>
        <w:rPr>
          <w:color w:val="000000"/>
          <w:szCs w:val="24"/>
          <w:lang w:eastAsia="lt-LT"/>
        </w:rPr>
      </w:pPr>
      <w:r w:rsidR="00AA07B3">
        <w:rPr>
          <w:color w:val="000000"/>
          <w:szCs w:val="24"/>
          <w:lang w:eastAsia="lt-LT"/>
        </w:rPr>
        <w:t>6</w:t>
      </w:r>
      <w:r w:rsidR="00AA07B3">
        <w:rPr>
          <w:color w:val="000000"/>
          <w:szCs w:val="24"/>
          <w:lang w:eastAsia="lt-LT"/>
        </w:rPr>
        <w:t>. Pakeisti Metodikos 121.3 punktą ir jį išdėstyti taip:</w:t>
      </w:r>
    </w:p>
    <w:p w14:paraId="5A2C8073" w14:textId="77777777" w:rsidR="00425CD5" w:rsidRDefault="00AA07B3">
      <w:pPr>
        <w:widowControl w:val="0"/>
        <w:ind w:firstLine="567"/>
        <w:jc w:val="both"/>
        <w:rPr>
          <w:color w:val="000000"/>
          <w:szCs w:val="24"/>
          <w:lang w:eastAsia="lt-LT"/>
        </w:rPr>
      </w:pPr>
      <w:r>
        <w:rPr>
          <w:color w:val="000000"/>
          <w:szCs w:val="24"/>
          <w:lang w:eastAsia="lt-LT"/>
        </w:rPr>
        <w:t>„</w:t>
      </w:r>
      <w:r>
        <w:rPr>
          <w:color w:val="000000"/>
          <w:szCs w:val="24"/>
          <w:lang w:eastAsia="lt-LT"/>
        </w:rPr>
        <w:t>121.3</w:t>
      </w:r>
      <w:r>
        <w:rPr>
          <w:color w:val="000000"/>
          <w:szCs w:val="24"/>
          <w:lang w:eastAsia="lt-LT"/>
        </w:rPr>
        <w:t>. atitinkamo laikotarpio šalies vidutinė atitinkamos kuro rūšies rinkos kaina nustatoma kaip geometrinis šalies šilumos tiekėjų, realizuojančių daugiau kaip 10 GWh šilumos per metus, ir reguliuojamų nepriklausomų šilumos gamintojų pirkto kuro kainų vidurkis. Nustatant vidutinę atitinkamos kuro rūšies rinkos kainą atmetamos atitinkamo laikotarpio ekstremalios (didžiausia ir mažiausia) vertės, esant daugiau nei 3 atitinkamos rūšies kuro pirkimams. Vidutinė šalies medienos kilmės biokuro (išskyrus medienos granules ir briketus) rinkos kaina nustatoma kaip vienas geometrinis atitinkamų biokuro rūšių vidurkis. Medienos granulėms ir briketams nustatomos atskiros vidutinės rinkos kainos;“.</w:t>
      </w:r>
    </w:p>
    <w:p w14:paraId="5A2C8074" w14:textId="77777777" w:rsidR="00425CD5" w:rsidRDefault="007240D4">
      <w:pPr>
        <w:widowControl w:val="0"/>
        <w:ind w:firstLine="567"/>
        <w:jc w:val="both"/>
        <w:rPr>
          <w:color w:val="000000"/>
          <w:szCs w:val="24"/>
          <w:lang w:eastAsia="lt-LT"/>
        </w:rPr>
      </w:pPr>
      <w:r w:rsidR="00AA07B3">
        <w:rPr>
          <w:color w:val="000000"/>
          <w:szCs w:val="24"/>
          <w:lang w:eastAsia="lt-LT"/>
        </w:rPr>
        <w:t>7</w:t>
      </w:r>
      <w:r w:rsidR="00AA07B3">
        <w:rPr>
          <w:color w:val="000000"/>
          <w:szCs w:val="24"/>
          <w:lang w:eastAsia="lt-LT"/>
        </w:rPr>
        <w:t>. Pakeisti Metodikos 121.4 punktą ir jį išdėstyti taip:</w:t>
      </w:r>
    </w:p>
    <w:p w14:paraId="5A2C8076" w14:textId="4C71CA00" w:rsidR="00425CD5" w:rsidRDefault="00AA07B3">
      <w:pPr>
        <w:widowControl w:val="0"/>
        <w:ind w:firstLine="567"/>
        <w:jc w:val="both"/>
        <w:rPr>
          <w:color w:val="000000"/>
          <w:szCs w:val="24"/>
          <w:lang w:eastAsia="lt-LT"/>
        </w:rPr>
      </w:pPr>
      <w:r>
        <w:rPr>
          <w:color w:val="000000"/>
          <w:szCs w:val="24"/>
          <w:lang w:eastAsia="lt-LT"/>
        </w:rPr>
        <w:t>„</w:t>
      </w:r>
      <w:r>
        <w:rPr>
          <w:color w:val="000000"/>
          <w:szCs w:val="24"/>
          <w:lang w:eastAsia="lt-LT"/>
        </w:rPr>
        <w:t>121.4</w:t>
      </w:r>
      <w:r>
        <w:rPr>
          <w:color w:val="000000"/>
          <w:szCs w:val="24"/>
          <w:lang w:eastAsia="lt-LT"/>
        </w:rPr>
        <w:t>. pirktos šilumos kainos, taikomos šilumos kainų skaičiavimuose, nustatomos pagal einamąjį mėnesį nustatytas ateinantį mėnesį planuojamos supirkti šilumos kainas ir</w:t>
      </w:r>
      <w:r>
        <w:rPr>
          <w:b/>
          <w:bCs/>
          <w:color w:val="000000"/>
          <w:szCs w:val="24"/>
          <w:lang w:eastAsia="lt-LT"/>
        </w:rPr>
        <w:t xml:space="preserve"> </w:t>
      </w:r>
      <w:r>
        <w:rPr>
          <w:color w:val="000000"/>
          <w:szCs w:val="24"/>
          <w:lang w:eastAsia="lt-LT"/>
        </w:rPr>
        <w:t>turi atitikti Metodikos 80.2.2 punkto reikalavimus.“</w:t>
      </w:r>
    </w:p>
    <w:p w14:paraId="445F322C" w14:textId="1EFCBC65" w:rsidR="00AA07B3" w:rsidRDefault="00AA07B3">
      <w:pPr>
        <w:widowControl w:val="0"/>
        <w:tabs>
          <w:tab w:val="right" w:pos="9071"/>
        </w:tabs>
      </w:pPr>
    </w:p>
    <w:p w14:paraId="1AB5E7CA" w14:textId="77777777" w:rsidR="00AA07B3" w:rsidRDefault="00AA07B3">
      <w:pPr>
        <w:widowControl w:val="0"/>
        <w:tabs>
          <w:tab w:val="right" w:pos="9071"/>
        </w:tabs>
      </w:pPr>
    </w:p>
    <w:p w14:paraId="5A2C8077" w14:textId="1314A977" w:rsidR="00425CD5" w:rsidRDefault="00AA07B3">
      <w:pPr>
        <w:widowControl w:val="0"/>
        <w:tabs>
          <w:tab w:val="right" w:pos="9071"/>
        </w:tabs>
        <w:rPr>
          <w:caps/>
          <w:color w:val="000000"/>
          <w:szCs w:val="24"/>
          <w:lang w:eastAsia="lt-LT"/>
        </w:rPr>
      </w:pPr>
      <w:r>
        <w:rPr>
          <w:caps/>
          <w:color w:val="000000"/>
          <w:szCs w:val="24"/>
          <w:lang w:eastAsia="lt-LT"/>
        </w:rPr>
        <w:t>Kom</w:t>
      </w:r>
      <w:bookmarkStart w:id="0" w:name="_GoBack"/>
      <w:bookmarkEnd w:id="0"/>
      <w:r>
        <w:rPr>
          <w:caps/>
          <w:color w:val="000000"/>
          <w:szCs w:val="24"/>
          <w:lang w:eastAsia="lt-LT"/>
        </w:rPr>
        <w:t>isijos narys,</w:t>
      </w:r>
    </w:p>
    <w:p w14:paraId="5A2C8078" w14:textId="77777777" w:rsidR="00425CD5" w:rsidRDefault="00AA07B3">
      <w:pPr>
        <w:widowControl w:val="0"/>
        <w:tabs>
          <w:tab w:val="right" w:pos="9071"/>
        </w:tabs>
        <w:rPr>
          <w:caps/>
          <w:color w:val="000000"/>
          <w:szCs w:val="24"/>
          <w:lang w:eastAsia="lt-LT"/>
        </w:rPr>
      </w:pPr>
      <w:r>
        <w:rPr>
          <w:caps/>
          <w:color w:val="000000"/>
          <w:szCs w:val="24"/>
          <w:lang w:eastAsia="lt-LT"/>
        </w:rPr>
        <w:t>laikinai einantis Komisijos pirmininko pareigas</w:t>
      </w:r>
      <w:r>
        <w:rPr>
          <w:caps/>
          <w:color w:val="000000"/>
          <w:szCs w:val="24"/>
          <w:lang w:eastAsia="lt-LT"/>
        </w:rPr>
        <w:tab/>
        <w:t>Žilvinas Klimka</w:t>
      </w:r>
    </w:p>
    <w:p w14:paraId="5A2C807B" w14:textId="31A6EE7A" w:rsidR="00425CD5" w:rsidRDefault="007240D4">
      <w:pPr>
        <w:widowControl w:val="0"/>
        <w:jc w:val="center"/>
        <w:rPr>
          <w:color w:val="000000"/>
          <w:szCs w:val="24"/>
          <w:lang w:eastAsia="lt-LT"/>
        </w:rPr>
      </w:pPr>
    </w:p>
    <w:sectPr w:rsidR="00425CD5">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F8"/>
    <w:rsid w:val="003433F8"/>
    <w:rsid w:val="00425CD5"/>
    <w:rsid w:val="007240D4"/>
    <w:rsid w:val="00781632"/>
    <w:rsid w:val="00AA07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07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0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3A67B9687BB"/>
  <Relationship Id="rId11" Type="http://schemas.openxmlformats.org/officeDocument/2006/relationships/hyperlink" TargetMode="External" Target="https://www.e-tar.lt/portal/lt/legalAct/TAR.3218F3F7DC5D"/>
  <Relationship Id="rId12" Type="http://schemas.openxmlformats.org/officeDocument/2006/relationships/hyperlink" TargetMode="External" Target="https://www.e-tar.lt/portal/lt/legalAct/TAR.0E189739EC80"/>
  <Relationship Id="rId13" Type="http://schemas.openxmlformats.org/officeDocument/2006/relationships/hyperlink" TargetMode="External" Target="https://www.e-tar.lt/portal/lt/legalAct/TAR.00134B2C104C"/>
  <Relationship Id="rId14" Type="http://schemas.openxmlformats.org/officeDocument/2006/relationships/image" Target="media/image1.emf"/>
  <Relationship Id="rId15" Type="http://schemas.openxmlformats.org/officeDocument/2006/relationships/image" Target="media/image2.emf"/>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44235B485568"/>
  <Relationship Id="rId7" Type="http://schemas.openxmlformats.org/officeDocument/2006/relationships/hyperlink" TargetMode="External" Target="https://www.e-tar.lt/portal/lt/legalAct/TAR.C2DAB42D5532"/>
  <Relationship Id="rId8" Type="http://schemas.openxmlformats.org/officeDocument/2006/relationships/hyperlink" TargetMode="External" Target="https://www.e-tar.lt/portal/lt/legalAct/TAR.F62AD965997D"/>
  <Relationship Id="rId9" Type="http://schemas.openxmlformats.org/officeDocument/2006/relationships/hyperlink" TargetMode="External" Target="https://www.e-tar.lt/portal/lt/legalAct/TAR.A601A252F7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3340</Words>
  <Characters>1905</Characters>
  <Application>Microsoft Office Word</Application>
  <DocSecurity>0</DocSecurity>
  <Lines>15</Lines>
  <Paragraphs>10</Paragraphs>
  <ScaleCrop>false</ScaleCrop>
  <Company/>
  <LinksUpToDate>false</LinksUpToDate>
  <CharactersWithSpaces>5235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2015-09-08T17:19:00Z</dcterms:created>
  <dc:creator>Rima</dc:creator>
  <lastModifiedBy>DRAZDAUSKIENĖ Nijolė</lastModifiedBy>
  <dcterms:modified xsi:type="dcterms:W3CDTF">2016-05-24T07:51:00Z</dcterms:modified>
  <revision>5</revision>
  <dc:title>VALSTYBINĖS KAINŲ IR ENERGETIKOS KONTROLĖS KOMISIJOS</dc:title>
</coreProperties>
</file>