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VIEŠŲJŲ PIRKIMŲ ĮSTATYMO 15 STRAIPSNIO PAPILDYMO ĮSTATYMAS</w:t>
      </w:r>
    </w:p>
    <w:p>
      <w:pPr>
        <w:widowControl w:val="0"/>
        <w:ind w:firstLine="567"/>
        <w:jc w:val="both"/>
        <w:rPr>
          <w:b/>
          <w:bCs/>
          <w:color w:val="000000"/>
          <w:szCs w:val="24"/>
          <w:lang w:eastAsia="lt-LT"/>
        </w:rPr>
      </w:pPr>
    </w:p>
    <w:p>
      <w:pPr>
        <w:widowControl w:val="0"/>
        <w:jc w:val="center"/>
        <w:rPr>
          <w:color w:val="000000"/>
          <w:szCs w:val="24"/>
          <w:lang w:eastAsia="lt-LT"/>
        </w:rPr>
      </w:pPr>
      <w:r>
        <w:rPr>
          <w:color w:val="000000"/>
          <w:szCs w:val="24"/>
          <w:lang w:eastAsia="lt-LT"/>
        </w:rPr>
        <w:t xml:space="preserve">2013 m. sausio 17 d. Nr. XII-166 </w:t>
      </w:r>
    </w:p>
    <w:p>
      <w:pPr>
        <w:widowControl w:val="0"/>
        <w:jc w:val="center"/>
        <w:rPr>
          <w:color w:val="000000"/>
          <w:szCs w:val="24"/>
          <w:lang w:eastAsia="lt-LT"/>
        </w:rPr>
      </w:pPr>
      <w:r>
        <w:rPr>
          <w:color w:val="000000"/>
          <w:szCs w:val="24"/>
          <w:lang w:eastAsia="lt-LT"/>
        </w:rPr>
        <w:t>Vilnius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(Žin., 1996, Nr. </w:t>
      </w:r>
      <w:fldSimple w:instr="HYPERLINK https://www.e-tar.lt/portal/lt/legalAct/TAR.C54AFFAA7622 \t _blank">
        <w:r>
          <w:rPr>
            <w:color w:val="0000FF" w:themeColor="hyperlink"/>
            <w:szCs w:val="24"/>
            <w:lang w:eastAsia="lt-LT"/>
            <w:u w:val="single"/>
          </w:rPr>
          <w:t>84-2000</w:t>
        </w:r>
      </w:fldSimple>
      <w:r>
        <w:rPr>
          <w:color w:val="000000"/>
          <w:szCs w:val="24"/>
          <w:lang w:eastAsia="lt-LT"/>
        </w:rPr>
        <w:t>; 2006, Nr. </w:t>
      </w:r>
      <w:fldSimple w:instr="HYPERLINK https://www.e-tar.lt/portal/lt/legalAct/TAR.C0DE35FFA738 \t _blank">
        <w:r>
          <w:rPr>
            <w:color w:val="0000FF" w:themeColor="hyperlink"/>
            <w:szCs w:val="24"/>
            <w:lang w:eastAsia="lt-LT"/>
            <w:u w:val="single"/>
          </w:rPr>
          <w:t>4-102</w:t>
        </w:r>
      </w:fldSimple>
      <w:r>
        <w:rPr>
          <w:color w:val="000000"/>
          <w:szCs w:val="24"/>
          <w:lang w:eastAsia="lt-LT"/>
        </w:rPr>
        <w:t>; 2010, Nr. </w:t>
      </w:r>
      <w:fldSimple w:instr="HYPERLINK https://www.e-tar.lt/portal/lt/legalAct/TAR.A91EE63FD1A6 \t _blank">
        <w:r>
          <w:rPr>
            <w:color w:val="0000FF" w:themeColor="hyperlink"/>
            <w:szCs w:val="24"/>
            <w:lang w:eastAsia="lt-LT"/>
            <w:u w:val="single"/>
          </w:rPr>
          <w:t>25-1174</w:t>
        </w:r>
      </w:fldSimple>
      <w:r>
        <w:rPr>
          <w:color w:val="000000"/>
          <w:szCs w:val="24"/>
          <w:lang w:eastAsia="lt-LT"/>
        </w:rPr>
        <w:t>)</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15 straipsnio papildymas 4, 5 ir 6 dalimis</w:t>
      </w:r>
    </w:p>
    <w:p>
      <w:pPr>
        <w:widowControl w:val="0"/>
        <w:ind w:firstLine="567"/>
        <w:jc w:val="both"/>
        <w:rPr>
          <w:color w:val="000000"/>
          <w:szCs w:val="24"/>
          <w:lang w:eastAsia="lt-LT"/>
        </w:rPr>
      </w:pPr>
      <w:r>
        <w:rPr>
          <w:color w:val="000000"/>
          <w:szCs w:val="24"/>
          <w:lang w:eastAsia="lt-LT"/>
        </w:rPr>
        <w:t>1</w:t>
      </w:r>
      <w:r>
        <w:rPr>
          <w:color w:val="000000"/>
          <w:szCs w:val="24"/>
          <w:lang w:eastAsia="lt-LT"/>
        </w:rPr>
        <w:t>. Papildyti 15 straipsnį 4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Centrinės perkančiosios organizacijos veikla finansuojama iš įstaigai, kuri įgyvendina centrinės perkančiosios organizacijos funkcijas vykdančio juridinio asmens dalyvio ar savininko teises ir pareigas, skirtų valstybės ar savivaldybės biudžeto asignavimų ir (ar) kitų lėšų.“</w:t>
      </w:r>
    </w:p>
    <w:p>
      <w:pPr>
        <w:widowControl w:val="0"/>
        <w:ind w:firstLine="567"/>
        <w:jc w:val="both"/>
        <w:rPr>
          <w:color w:val="000000"/>
          <w:szCs w:val="24"/>
          <w:lang w:eastAsia="lt-LT"/>
        </w:rPr>
      </w:pPr>
      <w:r>
        <w:rPr>
          <w:color w:val="000000"/>
          <w:szCs w:val="24"/>
          <w:lang w:eastAsia="lt-LT"/>
        </w:rPr>
        <w:t>2</w:t>
      </w:r>
      <w:r>
        <w:rPr>
          <w:color w:val="000000"/>
          <w:szCs w:val="24"/>
          <w:lang w:eastAsia="lt-LT"/>
        </w:rPr>
        <w:t>. Papildyti 15 straipsnį 5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Perkančiosios organizacijos, išskyrus Lietuvos Respublikos diplomatines atstovybes, konsulines įstaigas užsienyje ir Lietuvos Respublikos atstovybes prie tarptautinių organizacijų,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p>
    <w:p>
      <w:pPr>
        <w:widowControl w:val="0"/>
        <w:ind w:firstLine="567"/>
        <w:jc w:val="both"/>
        <w:rPr>
          <w:color w:val="000000"/>
          <w:szCs w:val="24"/>
          <w:lang w:eastAsia="lt-LT"/>
        </w:rPr>
      </w:pPr>
      <w:r>
        <w:rPr>
          <w:color w:val="000000"/>
          <w:szCs w:val="24"/>
          <w:lang w:eastAsia="lt-LT"/>
        </w:rPr>
        <w:t>3</w:t>
      </w:r>
      <w:r>
        <w:rPr>
          <w:color w:val="000000"/>
          <w:szCs w:val="24"/>
          <w:lang w:eastAsia="lt-LT"/>
        </w:rPr>
        <w:t>. Papildyti 15 straipsnį 6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Centrinė perkančioji organizacija ketvirčiui pasibaigus per 5 darbo dienas privalo pateikti Viešųjų pirkimų tarnybai informaciją apie perkančiųjų organizacijų pirkimus, atliktus per ketvirtį iš centrinės perkančiosios organizacijos arba per ją, ir kartu nurodyti informaciją apie atliktus žaliuosius pirkimus ir jų vertes bei energijos vartojimo efektyvumo reikalavimų taikymą.“</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w:t>
      </w:r>
    </w:p>
    <w:p>
      <w:pPr>
        <w:widowControl w:val="0"/>
        <w:ind w:firstLine="567"/>
        <w:jc w:val="both"/>
        <w:rPr>
          <w:color w:val="000000"/>
          <w:szCs w:val="24"/>
          <w:lang w:eastAsia="lt-LT"/>
        </w:rPr>
      </w:pPr>
      <w:r>
        <w:rPr>
          <w:color w:val="000000"/>
          <w:szCs w:val="24"/>
          <w:lang w:eastAsia="lt-LT"/>
        </w:rPr>
        <w:t>Šio įstatymo 1 straipsnio 2 ir 3 dalys įsigalioja 2014 m. sausio 1 d.</w:t>
      </w:r>
    </w:p>
    <w:p>
      <w:pPr>
        <w:widowControl w:val="0"/>
        <w:ind w:firstLine="567"/>
        <w:jc w:val="both"/>
        <w:rPr>
          <w:b/>
          <w:bCs/>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1791</Characters>
  <Application>Microsoft Office Word</Application>
  <DocSecurity>4</DocSecurity>
  <Lines>39</Lines>
  <Paragraphs>18</Paragraphs>
  <ScaleCrop>false</ScaleCrop>
  <Company/>
  <LinksUpToDate>false</LinksUpToDate>
  <CharactersWithSpaces>2030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2015-10-08T04:44:00Z</dcterms:created>
  <dc:creator>Rima</dc:creator>
  <lastModifiedBy>Adlib User</lastModifiedBy>
  <dcterms:modified xsi:type="dcterms:W3CDTF">2015-10-08T04:44:00Z</dcterms:modified>
  <revision>2</revision>
  <dc:title>LIETUVOS RESPUBLIKOS VIEŠŲJŲ PIRKIMŲ ĮSTATYMO 15 STRAIPSNIO PAPILDYMO ĮSTATYMAS</dc:title>
</coreProperties>
</file>