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VALSTYBINĖS KELIŲ TRANSPORTO INSPEKCIJOS</w:t>
      </w:r>
    </w:p>
    <w:p>
      <w:pPr>
        <w:widowControl w:val="0"/>
        <w:suppressAutoHyphens/>
        <w:jc w:val="center"/>
        <w:rPr>
          <w:color w:val="000000"/>
        </w:rPr>
      </w:pPr>
      <w:r>
        <w:rPr>
          <w:color w:val="000000"/>
        </w:rPr>
        <w:t>PRIE SUSISIEKIMO MINISTERIJOS VIRŠININKO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PAŽEIDIMŲ, VAŽIUOJANT KELIŲ TRANSPORTO PRIEMONĖMIS (JŲ JUNGINIAIS) SU KROVINIU AR BE JO, VIRŠIJANT LEIDŽIAMUS MATMENIS, BENDRĄJĄ MASĘ IR AŠIES (-IŲ) APKROVAS, BE LEIDIMO, SKIRSTYMO Į KATEGORIJAS PAGAL SUNKUMĄ APRAŠO PATVIRTINIMO</w:t>
      </w:r>
    </w:p>
    <w:p>
      <w:pPr>
        <w:widowControl w:val="0"/>
        <w:suppressAutoHyphens/>
        <w:jc w:val="center"/>
        <w:rPr>
          <w:color w:val="000000"/>
        </w:rPr>
      </w:pPr>
    </w:p>
    <w:p>
      <w:pPr>
        <w:widowControl w:val="0"/>
        <w:suppressAutoHyphens/>
        <w:jc w:val="center"/>
        <w:rPr>
          <w:color w:val="000000"/>
        </w:rPr>
      </w:pPr>
      <w:r>
        <w:rPr>
          <w:color w:val="000000"/>
        </w:rPr>
        <w:t>2011 m. rugsėjo 16 d. Nr. 2B-348</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Siekdamas įgyvendinti Lietuvos Respublikos viešojo administravimo įstatymo (Žin., 1999, Nr. </w:t>
      </w:r>
      <w:fldSimple w:instr="HYPERLINK https://www.e-tar.lt/portal/lt/legalAct/TAR.0BDFFD850A66 \t _blank">
        <w:r>
          <w:rPr>
            <w:color w:val="0000FF" w:themeColor="hyperlink"/>
            <w:u w:val="single"/>
          </w:rPr>
          <w:t>60-1945</w:t>
        </w:r>
      </w:fldSimple>
      <w:r>
        <w:rPr>
          <w:color w:val="000000"/>
        </w:rPr>
        <w:t xml:space="preserve">; 2006, Nr. 77-2975; 2010, Nr. </w:t>
      </w:r>
      <w:fldSimple w:instr="HYPERLINK https://www.e-tar.lt/portal/lt/legalAct/TAR.C6A20B677091 \t _blank">
        <w:r>
          <w:rPr>
            <w:color w:val="0000FF" w:themeColor="hyperlink"/>
            <w:u w:val="single"/>
          </w:rPr>
          <w:t>81-4228</w:t>
        </w:r>
      </w:fldSimple>
      <w:r>
        <w:rPr>
          <w:color w:val="000000"/>
        </w:rPr>
        <w:t>) 36</w:t>
      </w:r>
      <w:r>
        <w:rPr>
          <w:color w:val="000000"/>
          <w:vertAlign w:val="superscript"/>
        </w:rPr>
        <w:t>2</w:t>
      </w:r>
      <w:r>
        <w:rPr>
          <w:color w:val="000000"/>
        </w:rPr>
        <w:t xml:space="preserve"> ir 36</w:t>
      </w:r>
      <w:r>
        <w:rPr>
          <w:color w:val="000000"/>
          <w:vertAlign w:val="superscript"/>
        </w:rPr>
        <w:t>7</w:t>
      </w:r>
      <w:r>
        <w:rPr>
          <w:color w:val="000000"/>
        </w:rPr>
        <w:t xml:space="preserve"> straipsnių nuostatas:</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Pažeidimų, važiuojant kelių transporto priemonėmis (jų junginiais) su kroviniu ar be jo, viršijant leidžiamus matmenis, bendrąją masę ir ašies (-ių) apkrovas, be leidimo, skirstymo į kategorijas pagal sunkumą aprašą (pridedama).</w:t>
      </w:r>
    </w:p>
    <w:p>
      <w:pPr>
        <w:widowControl w:val="0"/>
        <w:suppressAutoHyphens/>
        <w:ind w:firstLine="567"/>
        <w:jc w:val="both"/>
        <w:rPr>
          <w:color w:val="000000"/>
        </w:rPr>
      </w:pPr>
      <w:r>
        <w:rPr>
          <w:color w:val="000000"/>
        </w:rPr>
        <w:t>2</w:t>
      </w:r>
      <w:r>
        <w:rPr>
          <w:color w:val="000000"/>
        </w:rPr>
        <w:t>. Šis įsakymas įsigalioja 2012 m. gegužės 1 d.</w:t>
      </w:r>
    </w:p>
    <w:p>
      <w:pPr>
        <w:widowControl w:val="0"/>
        <w:suppressAutoHyphens/>
        <w:ind w:firstLine="567"/>
        <w:jc w:val="both"/>
        <w:rPr>
          <w:color w:val="000000"/>
        </w:rPr>
      </w:pPr>
      <w:r>
        <w:rPr>
          <w:color w:val="000000"/>
        </w:rPr>
        <w:t>3</w:t>
      </w:r>
      <w:r>
        <w:rPr>
          <w:color w:val="000000"/>
        </w:rPr>
        <w:t>. Šis įsakymas nustatyta tvarka skelbiamas „Valstybės žiniose“ ir Valstybinės kelių transporto inspekcijos prie Susisiekimo ministerijos interneto svetainėje.</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L. e. Inspekcijos viršininko pareigas </w:t>
        <w:tab/>
        <w:t>Eugenijus Ruškus</w:t>
      </w:r>
    </w:p>
    <w:p>
      <w:pPr>
        <w:widowControl w:val="0"/>
        <w:suppressAutoHyphens/>
        <w:rPr>
          <w:color w:val="000000"/>
        </w:rPr>
      </w:pPr>
    </w:p>
    <w:p>
      <w:pPr>
        <w:widowControl w:val="0"/>
        <w:suppressAutoHyphens/>
        <w:jc w:val="center"/>
        <w:rPr>
          <w:color w:val="000000"/>
        </w:rPr>
      </w:pPr>
      <w:r>
        <w:rPr>
          <w:color w:val="000000"/>
        </w:rPr>
        <w:t>_________________</w:t>
      </w:r>
    </w:p>
    <w:p>
      <w:pPr>
        <w:widowControl w:val="0"/>
        <w:suppressAutoHyphens/>
        <w:rPr>
          <w:color w:val="000000"/>
        </w:rPr>
      </w:pPr>
    </w:p>
    <w:p>
      <w:pPr>
        <w:widowControl w:val="0"/>
        <w:suppressAutoHyphens/>
        <w:ind w:left="4535"/>
        <w:rPr>
          <w:color w:val="000000"/>
        </w:rPr>
      </w:pPr>
      <w:r>
        <w:rPr>
          <w:color w:val="000000"/>
        </w:rPr>
        <w:br w:type="page"/>
        <w:t xml:space="preserve">PATVIRTINTA </w:t>
      </w:r>
    </w:p>
    <w:p>
      <w:pPr>
        <w:widowControl w:val="0"/>
        <w:suppressAutoHyphens/>
        <w:ind w:left="4535"/>
        <w:rPr>
          <w:color w:val="000000"/>
        </w:rPr>
      </w:pPr>
      <w:r>
        <w:rPr>
          <w:color w:val="000000"/>
        </w:rPr>
        <w:t xml:space="preserve">Valstybinės kelių transporto inspekcijos prie </w:t>
      </w:r>
    </w:p>
    <w:p>
      <w:pPr>
        <w:widowControl w:val="0"/>
        <w:suppressAutoHyphens/>
        <w:ind w:left="4535"/>
        <w:rPr>
          <w:color w:val="000000"/>
        </w:rPr>
      </w:pPr>
      <w:r>
        <w:rPr>
          <w:color w:val="000000"/>
        </w:rPr>
        <w:t xml:space="preserve">Susisiekimo ministerijos viršininko </w:t>
      </w:r>
    </w:p>
    <w:p>
      <w:pPr>
        <w:widowControl w:val="0"/>
        <w:suppressAutoHyphens/>
        <w:ind w:left="4535"/>
        <w:rPr>
          <w:color w:val="000000"/>
        </w:rPr>
      </w:pPr>
      <w:r>
        <w:rPr>
          <w:color w:val="000000"/>
        </w:rPr>
        <w:t>2011 m. rugsėjo 16 d. įsakymu Nr. 2B-348</w:t>
      </w:r>
    </w:p>
    <w:p>
      <w:pPr>
        <w:widowControl w:val="0"/>
        <w:suppressAutoHyphens/>
        <w:jc w:val="both"/>
        <w:rPr>
          <w:color w:val="000000"/>
        </w:rPr>
      </w:pPr>
    </w:p>
    <w:p>
      <w:pPr>
        <w:widowControl w:val="0"/>
        <w:suppressAutoHyphens/>
        <w:jc w:val="center"/>
        <w:rPr>
          <w:b/>
          <w:bCs/>
          <w:caps/>
          <w:color w:val="000000"/>
        </w:rPr>
      </w:pPr>
      <w:r>
        <w:rPr>
          <w:b/>
          <w:bCs/>
          <w:caps/>
          <w:color w:val="000000"/>
        </w:rPr>
        <w:t>PAŽEIDIMŲ, VAŽIUOJANT KELIŲ TRANSPORTO PRIEMONĖMIS (JŲ JUNGINIAIS) SU KROVINIU AR BE JO, VIRŠIJANT LEIDŽIAMUS MATMENIS, BENDRĄJĄ MASĘ IR AŠIES (-IŲ) APKROVAS, BE LEIDIMO, SKIRSTYMO Į KATEGORIJAS PAGAL SUNKUMĄ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Pažeidimų, važiuojant kelių transporto priemonėmis (jų junginiais) su kroviniu ar be jo, viršijant leidžiamus matmenis, bendrąją masę ir ašies (-ių) apkrovas, be leidimo, skirstymo į kategorijas pagal sunkumą aprašu (toliau – Aprašas) pažeidimai pagal jų sunkumą suskirstomi į kategorijas. </w:t>
      </w:r>
    </w:p>
    <w:p>
      <w:pPr>
        <w:widowControl w:val="0"/>
        <w:suppressAutoHyphens/>
        <w:ind w:firstLine="567"/>
        <w:jc w:val="both"/>
        <w:rPr>
          <w:color w:val="000000"/>
        </w:rPr>
      </w:pPr>
      <w:r>
        <w:rPr>
          <w:color w:val="000000"/>
        </w:rPr>
        <w:t>2</w:t>
      </w:r>
      <w:r>
        <w:rPr>
          <w:color w:val="000000"/>
        </w:rPr>
        <w:t>. Aprašas, naudojamas teikiant ataskaitas apie teisės aktų nuostatų reikalavimų nesilaikymo ar netinkamo vykdymo mastą, dažniausiai pažeidžiamas teisės aktų nuostatas, vertinant ūkio subjektų daromus pažeidimus ir ūkio subjektus skirstant į rizikos kategorijas.</w:t>
      </w:r>
    </w:p>
    <w:p>
      <w:pPr>
        <w:widowControl w:val="0"/>
        <w:suppressAutoHyphens/>
        <w:ind w:firstLine="567"/>
        <w:jc w:val="both"/>
        <w:rPr>
          <w:color w:val="000000"/>
        </w:rPr>
      </w:pPr>
      <w:r>
        <w:rPr>
          <w:color w:val="000000"/>
        </w:rPr>
        <w:t>3</w:t>
      </w:r>
      <w:r>
        <w:rPr>
          <w:color w:val="000000"/>
        </w:rPr>
        <w:t xml:space="preserve">. Aprašas parengtas vadovaujantis Lietuvos Respublikos kelių transporto kodeksu (Žin., 1996, Nr. </w:t>
      </w:r>
      <w:fldSimple w:instr="HYPERLINK https://www.e-tar.lt/portal/lt/legalAct/TAR.65AD818F5F9C \t _blank">
        <w:r>
          <w:rPr>
            <w:color w:val="0000FF" w:themeColor="hyperlink"/>
            <w:u w:val="single"/>
          </w:rPr>
          <w:t>119-2772</w:t>
        </w:r>
      </w:fldSimple>
      <w:r>
        <w:rPr>
          <w:color w:val="000000"/>
        </w:rPr>
        <w:t xml:space="preserve">), Maksimaliais leidžiamais transporto priemonių matmenimis, leidžiama ašies (ašių) apkrova, leidžiama bendrąja mase, patvirtinta Lietuvos Respublikos susisiekimo ministro 2002 m. vasario 18 d. įsakymu Nr. 3-66 (Žin., 2002, Nr. </w:t>
      </w:r>
      <w:fldSimple w:instr="HYPERLINK https://www.e-tar.lt/portal/lt/legalAct/TAR.B3618189BEF5 \t _blank">
        <w:r>
          <w:rPr>
            <w:color w:val="0000FF" w:themeColor="hyperlink"/>
            <w:u w:val="single"/>
          </w:rPr>
          <w:t>23-870</w:t>
        </w:r>
      </w:fldSimple>
      <w:r>
        <w:rPr>
          <w:color w:val="000000"/>
        </w:rPr>
        <w:t xml:space="preserve">), 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mokėjimo, administravimo, kontrolės ir leidimų važiuoti jomis valstybinės reikšmės keliais išdavimo tvarkos aprašu, patvirtintu Lietuvos Respublikos susisiekimo ministro 2006 m. balandžio 20 d. įsakymu Nr. 3-150 (Žin., 2006, Nr. </w:t>
      </w:r>
      <w:fldSimple w:instr="HYPERLINK https://www.e-tar.lt/portal/lt/legalAct/TAR.C6C45D231ED7 \t _blank">
        <w:r>
          <w:rPr>
            <w:color w:val="0000FF" w:themeColor="hyperlink"/>
            <w:u w:val="single"/>
          </w:rPr>
          <w:t>49-1783</w:t>
        </w:r>
      </w:fldSimple>
      <w:r>
        <w:rPr>
          <w:color w:val="000000"/>
        </w:rPr>
        <w:t xml:space="preserve">; 2008, Nr. </w:t>
      </w:r>
      <w:fldSimple w:instr="HYPERLINK https://www.e-tar.lt/portal/lt/legalAct/TAR.805772400910 \t _blank">
        <w:r>
          <w:rPr>
            <w:color w:val="0000FF" w:themeColor="hyperlink"/>
            <w:u w:val="single"/>
          </w:rPr>
          <w:t>17-593</w:t>
        </w:r>
      </w:fldSimple>
      <w:r>
        <w:rPr>
          <w:color w:val="000000"/>
        </w:rPr>
        <w:t xml:space="preserve">), Medienos vežimo kelių transportu reikalavimais, patvirtintais Lietuvos Respublikos susisiekimo ministro 2004 m. balandžio 27 d. įsakymu Nr. 3-183 (Žin., 2004, Nr. </w:t>
      </w:r>
      <w:fldSimple w:instr="HYPERLINK https://www.e-tar.lt/portal/lt/legalAct/TAR.C923EBA297EC \t _blank">
        <w:r>
          <w:rPr>
            <w:color w:val="0000FF" w:themeColor="hyperlink"/>
            <w:u w:val="single"/>
          </w:rPr>
          <w:t>67-2357</w:t>
        </w:r>
      </w:fldSimple>
      <w:r>
        <w:rPr>
          <w:color w:val="000000"/>
        </w:rPr>
        <w:t xml:space="preserve">), (toliau – Medienos vežimo reikalavimai), Uždraudimo transporto priemonei važiuoti toliau ir transporto priemonės dokumentų paėmimo tvarkos aprašu, patvirtintu Valstybinės kelių transporto inspekcijos prie Susisiekimo ministerijos viršininko 2008 m. lapkričio 14 d. įsakymu Nr. 2B-446 (Žin., 2008, Nr. </w:t>
      </w:r>
      <w:fldSimple w:instr="HYPERLINK https://www.e-tar.lt/portal/lt/legalAct/TAR.B3BAF78253A2 \t _blank">
        <w:r>
          <w:rPr>
            <w:color w:val="0000FF" w:themeColor="hyperlink"/>
            <w:u w:val="single"/>
          </w:rPr>
          <w:t>145-5853</w:t>
        </w:r>
      </w:fldSimple>
      <w:r>
        <w:rPr>
          <w:color w:val="000000"/>
        </w:rPr>
        <w:t>), (toliau – Uždraudimo važiuoti toliau aprašas).</w:t>
      </w:r>
    </w:p>
    <w:p>
      <w:pPr>
        <w:widowControl w:val="0"/>
        <w:suppressAutoHyphens/>
        <w:ind w:firstLine="567"/>
        <w:jc w:val="both"/>
        <w:rPr>
          <w:color w:val="000000"/>
        </w:rPr>
      </w:pPr>
      <w:r>
        <w:rPr>
          <w:color w:val="000000"/>
        </w:rPr>
        <w:t>4</w:t>
      </w:r>
      <w:r>
        <w:rPr>
          <w:color w:val="000000"/>
        </w:rPr>
        <w:t>. Šiame Apraše vartojamos sąvokos suprantamos taip, kaip nurodytos Medienos vežimo reikalavimuose ir Uždraudimo važiuoti toliau apraše.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PAŽEIDIMŲ SKIRSTYMAS </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Pažeidimai, atsižvelgiant į eismo saugos keliuose grėsmę, pasekmes eismo dalyviams ir neigiamą poveikį aplinkai skirstomi į šias kategorijas:</w:t>
      </w:r>
    </w:p>
    <w:p>
      <w:pPr>
        <w:widowControl w:val="0"/>
        <w:suppressAutoHyphens/>
        <w:ind w:firstLine="567"/>
        <w:jc w:val="both"/>
        <w:rPr>
          <w:color w:val="000000"/>
        </w:rPr>
      </w:pPr>
      <w:r>
        <w:rPr>
          <w:color w:val="000000"/>
        </w:rPr>
        <w:t>5.1</w:t>
      </w:r>
      <w:r>
        <w:rPr>
          <w:color w:val="000000"/>
        </w:rPr>
        <w:t xml:space="preserve">. </w:t>
      </w:r>
      <w:r>
        <w:rPr>
          <w:b/>
          <w:bCs/>
          <w:color w:val="000000"/>
        </w:rPr>
        <w:t>I kategorijos pažeidimai</w:t>
      </w:r>
      <w:r>
        <w:rPr>
          <w:color w:val="000000"/>
        </w:rPr>
        <w:t xml:space="preserve"> – nesunkūs pažeidimai, keliantys eismo saugos pavojų ar galintys daryti neigiamą poveikį aplinkai.</w:t>
      </w:r>
    </w:p>
    <w:p>
      <w:pPr>
        <w:widowControl w:val="0"/>
        <w:suppressAutoHyphens/>
        <w:ind w:firstLine="567"/>
        <w:jc w:val="both"/>
        <w:rPr>
          <w:color w:val="000000"/>
        </w:rPr>
      </w:pPr>
      <w:r>
        <w:rPr>
          <w:color w:val="000000"/>
        </w:rPr>
        <w:t>5.2</w:t>
      </w:r>
      <w:r>
        <w:rPr>
          <w:color w:val="000000"/>
        </w:rPr>
        <w:t xml:space="preserve">. </w:t>
      </w:r>
      <w:r>
        <w:rPr>
          <w:b/>
          <w:bCs/>
          <w:color w:val="000000"/>
        </w:rPr>
        <w:t xml:space="preserve">II kategorijos pažeidimai </w:t>
      </w:r>
      <w:r>
        <w:rPr>
          <w:color w:val="000000"/>
        </w:rPr>
        <w:t>– sunkūs pažeidimai, keliantys didelį eismo saugos pavojų, skatinantys nesąžiningą konkurenciją ir darantys neigiamą poveikį aplinkai.</w:t>
      </w:r>
    </w:p>
    <w:p>
      <w:pPr>
        <w:widowControl w:val="0"/>
        <w:suppressAutoHyphens/>
        <w:ind w:firstLine="567"/>
        <w:jc w:val="both"/>
        <w:rPr>
          <w:color w:val="000000"/>
        </w:rPr>
      </w:pPr>
      <w:r>
        <w:rPr>
          <w:color w:val="000000"/>
        </w:rPr>
        <w:t>5.3</w:t>
      </w:r>
      <w:r>
        <w:rPr>
          <w:color w:val="000000"/>
        </w:rPr>
        <w:t xml:space="preserve">. </w:t>
      </w:r>
      <w:r>
        <w:rPr>
          <w:b/>
          <w:bCs/>
          <w:color w:val="000000"/>
        </w:rPr>
        <w:t>III kategorijos pažeidimai</w:t>
      </w:r>
      <w:r>
        <w:rPr>
          <w:color w:val="000000"/>
        </w:rPr>
        <w:t xml:space="preserve"> – labai sunkūs pažeidimai, keliantys labai didelį eismo saugos pavojų, lemiantys sunkius eismo dalyvių kūno sužalojimus, mirtį, darantys didelį neigiamą poveikį aplinkai ar didelę turtinę žalą.</w:t>
      </w:r>
    </w:p>
    <w:p>
      <w:pPr>
        <w:widowControl w:val="0"/>
        <w:suppressAutoHyphens/>
        <w:ind w:firstLine="567"/>
        <w:jc w:val="both"/>
        <w:rPr>
          <w:color w:val="000000"/>
        </w:rPr>
      </w:pPr>
      <w:r>
        <w:rPr>
          <w:color w:val="000000"/>
        </w:rPr>
        <w:t>6</w:t>
      </w:r>
      <w:r>
        <w:rPr>
          <w:color w:val="000000"/>
        </w:rPr>
        <w:t>. Pažeidimų, suskirstytų į kategorijas pagal sunkumą, sąrašas išdėstytas šio Aprašo priede.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Pareigūnas, pažeidęs šio Aprašo nuostatas, atsako teisės aktų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
      <w:pPr>
        <w:ind w:left="4535"/>
      </w:pPr>
      <w:r>
        <w:br w:type="page"/>
        <w:t xml:space="preserve">Pažeidimų, važiuojant kelių transporto </w:t>
      </w:r>
    </w:p>
    <w:p>
      <w:pPr>
        <w:ind w:left="4535"/>
      </w:pPr>
      <w:r>
        <w:t xml:space="preserve">priemonėmis (jų junginiais) su kroviniu ar be </w:t>
      </w:r>
    </w:p>
    <w:p>
      <w:pPr>
        <w:ind w:left="4535"/>
      </w:pPr>
      <w:r>
        <w:t xml:space="preserve">jo, viršijant leidžiamus matmenis, bendrąją </w:t>
      </w:r>
    </w:p>
    <w:p>
      <w:pPr>
        <w:ind w:left="4535"/>
      </w:pPr>
      <w:r>
        <w:t>masę ir ašies (-ių) apkrovas,</w:t>
      </w:r>
      <w:r>
        <w:rPr>
          <w:b/>
        </w:rPr>
        <w:t xml:space="preserve"> </w:t>
      </w:r>
      <w:r>
        <w:t xml:space="preserve">be leidimo, </w:t>
      </w:r>
    </w:p>
    <w:p>
      <w:pPr>
        <w:ind w:left="4535"/>
      </w:pPr>
      <w:r>
        <w:t xml:space="preserve">skirstymo į kategorijas pagal sunkumą aprašo </w:t>
      </w:r>
    </w:p>
    <w:p>
      <w:pPr>
        <w:ind w:left="4535"/>
      </w:pPr>
      <w:r>
        <w:t>priedas</w:t>
      </w:r>
    </w:p>
    <w:p/>
    <w:p>
      <w:pPr>
        <w:jc w:val="center"/>
        <w:rPr>
          <w:b/>
        </w:rPr>
      </w:pPr>
      <w:r>
        <w:rPr>
          <w:b/>
        </w:rPr>
        <w:t>PAŽEIDIMŲ SĄRAŠAS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736"/>
        <w:gridCol w:w="3491"/>
        <w:gridCol w:w="393"/>
        <w:gridCol w:w="2481"/>
        <w:gridCol w:w="467"/>
        <w:gridCol w:w="468"/>
        <w:gridCol w:w="468"/>
      </w:tblGrid>
      <w:tr>
        <w:trPr>
          <w:trHeight w:val="20"/>
          <w:tblHeader/>
        </w:trPr>
        <w:tc>
          <w:tcPr>
            <w:tcW w:w="623" w:type="dxa"/>
            <w:vMerge w:val="restart"/>
            <w:tcMar>
              <w:left w:w="28" w:type="dxa"/>
              <w:right w:w="28" w:type="dxa"/>
            </w:tcMar>
            <w:vAlign w:val="center"/>
          </w:tcPr>
          <w:p>
            <w:pPr>
              <w:jc w:val="center"/>
              <w:rPr>
                <w:sz w:val="22"/>
                <w:szCs w:val="22"/>
              </w:rPr>
            </w:pPr>
            <w:r>
              <w:rPr>
                <w:sz w:val="22"/>
                <w:szCs w:val="22"/>
              </w:rPr>
              <w:t>Eil. Nr.</w:t>
            </w:r>
          </w:p>
        </w:tc>
        <w:tc>
          <w:tcPr>
            <w:tcW w:w="736" w:type="dxa"/>
            <w:vMerge w:val="restart"/>
            <w:tcMar>
              <w:left w:w="28" w:type="dxa"/>
              <w:right w:w="28" w:type="dxa"/>
            </w:tcMar>
            <w:vAlign w:val="center"/>
          </w:tcPr>
          <w:p>
            <w:pPr>
              <w:jc w:val="center"/>
              <w:rPr>
                <w:sz w:val="22"/>
                <w:szCs w:val="22"/>
              </w:rPr>
            </w:pPr>
            <w:r>
              <w:rPr>
                <w:sz w:val="22"/>
                <w:szCs w:val="22"/>
              </w:rPr>
              <w:t>Pažeidimo kodas</w:t>
            </w:r>
          </w:p>
        </w:tc>
        <w:tc>
          <w:tcPr>
            <w:tcW w:w="6365" w:type="dxa"/>
            <w:gridSpan w:val="3"/>
            <w:vMerge w:val="restart"/>
            <w:tcMar>
              <w:left w:w="28" w:type="dxa"/>
              <w:right w:w="28" w:type="dxa"/>
            </w:tcMar>
            <w:vAlign w:val="center"/>
          </w:tcPr>
          <w:p>
            <w:pPr>
              <w:jc w:val="center"/>
              <w:rPr>
                <w:sz w:val="22"/>
                <w:szCs w:val="22"/>
              </w:rPr>
            </w:pPr>
            <w:r>
              <w:rPr>
                <w:sz w:val="22"/>
                <w:szCs w:val="22"/>
              </w:rPr>
              <w:t>Pažeidimas</w:t>
            </w:r>
          </w:p>
        </w:tc>
        <w:tc>
          <w:tcPr>
            <w:tcW w:w="1403" w:type="dxa"/>
            <w:gridSpan w:val="3"/>
            <w:tcMar>
              <w:left w:w="28" w:type="dxa"/>
              <w:right w:w="28" w:type="dxa"/>
            </w:tcMar>
            <w:vAlign w:val="center"/>
          </w:tcPr>
          <w:p>
            <w:pPr>
              <w:jc w:val="center"/>
              <w:rPr>
                <w:sz w:val="22"/>
                <w:szCs w:val="22"/>
              </w:rPr>
            </w:pPr>
            <w:r>
              <w:rPr>
                <w:sz w:val="22"/>
                <w:szCs w:val="22"/>
              </w:rPr>
              <w:t>Pažeidimo kategorija*</w:t>
            </w:r>
          </w:p>
        </w:tc>
      </w:tr>
      <w:tr>
        <w:trPr>
          <w:trHeight w:val="20"/>
          <w:tblHeader/>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6365" w:type="dxa"/>
            <w:gridSpan w:val="3"/>
            <w:vMerge/>
            <w:tcMar>
              <w:left w:w="28" w:type="dxa"/>
              <w:right w:w="28" w:type="dxa"/>
            </w:tcMar>
            <w:vAlign w:val="center"/>
          </w:tcPr>
          <w:p>
            <w:pPr>
              <w:jc w:val="center"/>
              <w:rPr>
                <w:sz w:val="22"/>
                <w:szCs w:val="22"/>
              </w:rPr>
            </w:pPr>
          </w:p>
        </w:tc>
        <w:tc>
          <w:tcPr>
            <w:tcW w:w="467" w:type="dxa"/>
            <w:tcMar>
              <w:left w:w="28" w:type="dxa"/>
              <w:right w:w="28" w:type="dxa"/>
            </w:tcMar>
            <w:vAlign w:val="center"/>
          </w:tcPr>
          <w:p>
            <w:pPr>
              <w:jc w:val="center"/>
              <w:rPr>
                <w:sz w:val="22"/>
                <w:szCs w:val="22"/>
              </w:rPr>
            </w:pPr>
            <w:r>
              <w:rPr>
                <w:sz w:val="22"/>
                <w:szCs w:val="22"/>
              </w:rPr>
              <w:t>I</w:t>
            </w:r>
          </w:p>
        </w:tc>
        <w:tc>
          <w:tcPr>
            <w:tcW w:w="468" w:type="dxa"/>
            <w:tcMar>
              <w:left w:w="28" w:type="dxa"/>
              <w:right w:w="28" w:type="dxa"/>
            </w:tcMar>
            <w:vAlign w:val="center"/>
          </w:tcPr>
          <w:p>
            <w:pPr>
              <w:jc w:val="center"/>
              <w:rPr>
                <w:sz w:val="22"/>
                <w:szCs w:val="22"/>
              </w:rPr>
            </w:pPr>
            <w:r>
              <w:rPr>
                <w:sz w:val="22"/>
                <w:szCs w:val="22"/>
              </w:rPr>
              <w:t>II</w:t>
            </w:r>
          </w:p>
        </w:tc>
        <w:tc>
          <w:tcPr>
            <w:tcW w:w="468" w:type="dxa"/>
            <w:tcMar>
              <w:left w:w="28" w:type="dxa"/>
              <w:right w:w="28" w:type="dxa"/>
            </w:tcMar>
            <w:vAlign w:val="center"/>
          </w:tcPr>
          <w:p>
            <w:pPr>
              <w:jc w:val="center"/>
              <w:rPr>
                <w:sz w:val="22"/>
                <w:szCs w:val="22"/>
              </w:rPr>
            </w:pPr>
            <w:r>
              <w:rPr>
                <w:sz w:val="22"/>
                <w:szCs w:val="22"/>
              </w:rPr>
              <w:t>III</w:t>
            </w:r>
          </w:p>
        </w:tc>
      </w:tr>
      <w:tr>
        <w:trPr>
          <w:trHeight w:val="20"/>
          <w:tblHeader/>
        </w:trPr>
        <w:tc>
          <w:tcPr>
            <w:tcW w:w="623" w:type="dxa"/>
            <w:tcMar>
              <w:left w:w="28" w:type="dxa"/>
              <w:right w:w="28" w:type="dxa"/>
            </w:tcMar>
            <w:vAlign w:val="center"/>
          </w:tcPr>
          <w:p>
            <w:pPr>
              <w:jc w:val="center"/>
              <w:rPr>
                <w:sz w:val="22"/>
                <w:szCs w:val="22"/>
              </w:rPr>
            </w:pPr>
            <w:r>
              <w:rPr>
                <w:sz w:val="22"/>
                <w:szCs w:val="22"/>
              </w:rPr>
              <w:t>1</w:t>
            </w:r>
          </w:p>
        </w:tc>
        <w:tc>
          <w:tcPr>
            <w:tcW w:w="736" w:type="dxa"/>
            <w:tcMar>
              <w:left w:w="28" w:type="dxa"/>
              <w:right w:w="28" w:type="dxa"/>
            </w:tcMar>
            <w:vAlign w:val="center"/>
          </w:tcPr>
          <w:p>
            <w:pPr>
              <w:jc w:val="center"/>
              <w:rPr>
                <w:sz w:val="22"/>
                <w:szCs w:val="22"/>
              </w:rPr>
            </w:pPr>
            <w:r>
              <w:rPr>
                <w:sz w:val="22"/>
                <w:szCs w:val="22"/>
              </w:rPr>
              <w:t>2</w:t>
            </w:r>
          </w:p>
        </w:tc>
        <w:tc>
          <w:tcPr>
            <w:tcW w:w="6365" w:type="dxa"/>
            <w:gridSpan w:val="3"/>
            <w:tcMar>
              <w:left w:w="28" w:type="dxa"/>
              <w:right w:w="28" w:type="dxa"/>
            </w:tcMar>
            <w:vAlign w:val="center"/>
          </w:tcPr>
          <w:p>
            <w:pPr>
              <w:jc w:val="center"/>
              <w:rPr>
                <w:sz w:val="22"/>
                <w:szCs w:val="22"/>
              </w:rPr>
            </w:pPr>
            <w:r>
              <w:rPr>
                <w:sz w:val="22"/>
                <w:szCs w:val="22"/>
              </w:rPr>
              <w:t>3</w:t>
            </w:r>
          </w:p>
        </w:tc>
        <w:tc>
          <w:tcPr>
            <w:tcW w:w="467" w:type="dxa"/>
            <w:tcMar>
              <w:left w:w="28" w:type="dxa"/>
              <w:right w:w="28" w:type="dxa"/>
            </w:tcMar>
            <w:vAlign w:val="center"/>
          </w:tcPr>
          <w:p>
            <w:pPr>
              <w:jc w:val="center"/>
              <w:rPr>
                <w:sz w:val="22"/>
                <w:szCs w:val="22"/>
              </w:rPr>
            </w:pPr>
            <w:r>
              <w:rPr>
                <w:sz w:val="22"/>
                <w:szCs w:val="22"/>
              </w:rPr>
              <w:t>4</w:t>
            </w:r>
          </w:p>
        </w:tc>
        <w:tc>
          <w:tcPr>
            <w:tcW w:w="468" w:type="dxa"/>
            <w:tcMar>
              <w:left w:w="28" w:type="dxa"/>
              <w:right w:w="28" w:type="dxa"/>
            </w:tcMar>
            <w:vAlign w:val="center"/>
          </w:tcPr>
          <w:p>
            <w:pPr>
              <w:jc w:val="center"/>
              <w:rPr>
                <w:sz w:val="22"/>
                <w:szCs w:val="22"/>
              </w:rPr>
            </w:pPr>
            <w:r>
              <w:rPr>
                <w:sz w:val="22"/>
                <w:szCs w:val="22"/>
              </w:rPr>
              <w:t>5</w:t>
            </w:r>
          </w:p>
        </w:tc>
        <w:tc>
          <w:tcPr>
            <w:tcW w:w="468" w:type="dxa"/>
            <w:tcMar>
              <w:left w:w="28" w:type="dxa"/>
              <w:right w:w="28" w:type="dxa"/>
            </w:tcMar>
            <w:vAlign w:val="center"/>
          </w:tcPr>
          <w:p>
            <w:pPr>
              <w:jc w:val="center"/>
              <w:rPr>
                <w:sz w:val="22"/>
                <w:szCs w:val="22"/>
              </w:rPr>
            </w:pPr>
            <w:r>
              <w:rPr>
                <w:sz w:val="22"/>
                <w:szCs w:val="22"/>
              </w:rPr>
              <w:t>6</w:t>
            </w:r>
          </w:p>
        </w:tc>
      </w:tr>
      <w:tr>
        <w:trPr>
          <w:trHeight w:val="20"/>
        </w:trPr>
        <w:tc>
          <w:tcPr>
            <w:tcW w:w="9127" w:type="dxa"/>
            <w:gridSpan w:val="8"/>
            <w:tcMar>
              <w:left w:w="28" w:type="dxa"/>
              <w:right w:w="28" w:type="dxa"/>
            </w:tcMar>
            <w:vAlign w:val="center"/>
          </w:tcPr>
          <w:p>
            <w:pPr>
              <w:jc w:val="center"/>
              <w:rPr>
                <w:b/>
                <w:sz w:val="22"/>
                <w:szCs w:val="22"/>
              </w:rPr>
            </w:pPr>
            <w:r>
              <w:rPr>
                <w:b/>
                <w:sz w:val="22"/>
                <w:szCs w:val="22"/>
              </w:rPr>
              <w:t>Važiavimas kelių transporto priemone (jų junginiu) su kroviniu ar be jo, viršijant leidžiamą bendrąją masę ir (ar) ašies, ir (ar) ašių grupės apkrovą</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1.</w:t>
            </w:r>
          </w:p>
        </w:tc>
        <w:tc>
          <w:tcPr>
            <w:tcW w:w="736" w:type="dxa"/>
            <w:vMerge w:val="restart"/>
            <w:tcMar>
              <w:left w:w="28" w:type="dxa"/>
              <w:right w:w="28" w:type="dxa"/>
            </w:tcMar>
            <w:vAlign w:val="center"/>
          </w:tcPr>
          <w:p>
            <w:pPr>
              <w:jc w:val="center"/>
              <w:rPr>
                <w:sz w:val="22"/>
                <w:szCs w:val="22"/>
              </w:rPr>
            </w:pPr>
            <w:r>
              <w:rPr>
                <w:sz w:val="22"/>
                <w:szCs w:val="22"/>
              </w:rPr>
              <w:t>SD1</w:t>
            </w:r>
          </w:p>
        </w:tc>
        <w:tc>
          <w:tcPr>
            <w:tcW w:w="3491" w:type="dxa"/>
            <w:vMerge w:val="restart"/>
            <w:tcMar>
              <w:left w:w="28" w:type="dxa"/>
              <w:right w:w="28" w:type="dxa"/>
            </w:tcMar>
            <w:vAlign w:val="center"/>
          </w:tcPr>
          <w:p>
            <w:pPr>
              <w:rPr>
                <w:sz w:val="22"/>
                <w:szCs w:val="22"/>
              </w:rPr>
            </w:pPr>
            <w:r>
              <w:rPr>
                <w:sz w:val="22"/>
                <w:szCs w:val="22"/>
              </w:rPr>
              <w:t xml:space="preserve">Vairuotojas vairavo kelių transporto priemonę (jų junginį), kurios bendroji masė viršijo leidžiamą, be leidimo arba viršydamas leidime nurodytus dydžius </w:t>
            </w:r>
          </w:p>
        </w:tc>
        <w:tc>
          <w:tcPr>
            <w:tcW w:w="2874" w:type="dxa"/>
            <w:gridSpan w:val="2"/>
            <w:tcBorders>
              <w:top w:val="nil"/>
            </w:tcBorders>
            <w:tcMar>
              <w:left w:w="28" w:type="dxa"/>
              <w:right w:w="28" w:type="dxa"/>
            </w:tcMar>
            <w:vAlign w:val="center"/>
          </w:tcPr>
          <w:p>
            <w:pPr>
              <w:rPr>
                <w:sz w:val="22"/>
                <w:szCs w:val="22"/>
              </w:rPr>
            </w:pPr>
            <w:r>
              <w:rPr>
                <w:sz w:val="22"/>
                <w:szCs w:val="22"/>
              </w:rPr>
              <w:t>Daugiau kaip 1 t, bet ne daugiau kaip 2 t</w:t>
            </w:r>
          </w:p>
        </w:tc>
        <w:tc>
          <w:tcPr>
            <w:tcW w:w="467" w:type="dxa"/>
            <w:tcBorders>
              <w:top w:val="nil"/>
            </w:tcBorders>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2 t, bet ne daugiau kaip 5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 xml:space="preserve">Daugiau kaip 5 t </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2.</w:t>
            </w:r>
          </w:p>
        </w:tc>
        <w:tc>
          <w:tcPr>
            <w:tcW w:w="736" w:type="dxa"/>
            <w:vMerge w:val="restart"/>
            <w:tcMar>
              <w:left w:w="28" w:type="dxa"/>
              <w:right w:w="28" w:type="dxa"/>
            </w:tcMar>
            <w:vAlign w:val="center"/>
          </w:tcPr>
          <w:p>
            <w:pPr>
              <w:jc w:val="center"/>
              <w:rPr>
                <w:sz w:val="22"/>
                <w:szCs w:val="22"/>
              </w:rPr>
            </w:pPr>
            <w:r>
              <w:rPr>
                <w:sz w:val="22"/>
                <w:szCs w:val="22"/>
              </w:rPr>
              <w:t>SD2</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vežančią 20, 30, 40, 45 pėdų konteinerį, kuri viršijo leidžiamą 44 t bendrąją masę</w:t>
            </w:r>
          </w:p>
        </w:tc>
        <w:tc>
          <w:tcPr>
            <w:tcW w:w="2874" w:type="dxa"/>
            <w:gridSpan w:val="2"/>
            <w:tcMar>
              <w:left w:w="28" w:type="dxa"/>
              <w:right w:w="28" w:type="dxa"/>
            </w:tcMar>
            <w:vAlign w:val="center"/>
          </w:tcPr>
          <w:p>
            <w:pPr>
              <w:rPr>
                <w:sz w:val="22"/>
                <w:szCs w:val="22"/>
              </w:rPr>
            </w:pPr>
            <w:r>
              <w:rPr>
                <w:sz w:val="22"/>
                <w:szCs w:val="22"/>
              </w:rPr>
              <w:t>Daugiau kaip 1 t, bet ne daugiau kaip 2 t</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2 t, bet ne daugiau kaip 5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5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3.</w:t>
            </w:r>
          </w:p>
        </w:tc>
        <w:tc>
          <w:tcPr>
            <w:tcW w:w="736" w:type="dxa"/>
            <w:vMerge w:val="restart"/>
            <w:tcMar>
              <w:left w:w="28" w:type="dxa"/>
              <w:right w:w="28" w:type="dxa"/>
            </w:tcMar>
            <w:vAlign w:val="center"/>
          </w:tcPr>
          <w:p>
            <w:pPr>
              <w:jc w:val="center"/>
              <w:rPr>
                <w:sz w:val="22"/>
                <w:szCs w:val="22"/>
              </w:rPr>
            </w:pPr>
            <w:r>
              <w:rPr>
                <w:sz w:val="22"/>
                <w:szCs w:val="22"/>
              </w:rPr>
              <w:t>SD3</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kurios pavienės ašies ar varančiosios ašies (-ių) apkrova viršijo leidžiamą, be leidimo arba viršydamas leidime nurodytus dydžius</w:t>
            </w:r>
          </w:p>
        </w:tc>
        <w:tc>
          <w:tcPr>
            <w:tcW w:w="2874" w:type="dxa"/>
            <w:gridSpan w:val="2"/>
            <w:tcMar>
              <w:left w:w="28" w:type="dxa"/>
              <w:right w:w="28" w:type="dxa"/>
            </w:tcMar>
            <w:vAlign w:val="center"/>
          </w:tcPr>
          <w:p>
            <w:pPr>
              <w:rPr>
                <w:sz w:val="22"/>
                <w:szCs w:val="22"/>
              </w:rPr>
            </w:pPr>
            <w:r>
              <w:rPr>
                <w:sz w:val="22"/>
                <w:szCs w:val="22"/>
              </w:rPr>
              <w:t>Daugiau kaip 0,6 t, bet ne daugiau kaip 1 t</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1 t, bet ne daugiau kaip 2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2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4.</w:t>
            </w:r>
          </w:p>
        </w:tc>
        <w:tc>
          <w:tcPr>
            <w:tcW w:w="736" w:type="dxa"/>
            <w:vMerge w:val="restart"/>
            <w:tcMar>
              <w:left w:w="28" w:type="dxa"/>
              <w:right w:w="28" w:type="dxa"/>
            </w:tcMar>
            <w:vAlign w:val="center"/>
          </w:tcPr>
          <w:p>
            <w:pPr>
              <w:jc w:val="center"/>
              <w:rPr>
                <w:sz w:val="22"/>
                <w:szCs w:val="22"/>
              </w:rPr>
            </w:pPr>
            <w:r>
              <w:rPr>
                <w:sz w:val="22"/>
                <w:szCs w:val="22"/>
              </w:rPr>
              <w:t>SD4</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kurios ašių grupės apkrova viršijo leidžiamą, be leidimo arba viršydamas leidime nurodytus dydžius</w:t>
            </w:r>
          </w:p>
        </w:tc>
        <w:tc>
          <w:tcPr>
            <w:tcW w:w="2874" w:type="dxa"/>
            <w:gridSpan w:val="2"/>
            <w:tcMar>
              <w:left w:w="28" w:type="dxa"/>
              <w:right w:w="28" w:type="dxa"/>
            </w:tcMar>
            <w:vAlign w:val="center"/>
          </w:tcPr>
          <w:p>
            <w:pPr>
              <w:rPr>
                <w:sz w:val="22"/>
                <w:szCs w:val="22"/>
              </w:rPr>
            </w:pPr>
            <w:r>
              <w:rPr>
                <w:sz w:val="22"/>
                <w:szCs w:val="22"/>
              </w:rPr>
              <w:t>Daugiau kaip 0,6 t, bet ne daugiau kaip 1 t</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1 t, bet ne daugiau kaip 3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3 t</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9127" w:type="dxa"/>
            <w:gridSpan w:val="8"/>
            <w:tcMar>
              <w:left w:w="28" w:type="dxa"/>
              <w:right w:w="28" w:type="dxa"/>
            </w:tcMar>
            <w:vAlign w:val="center"/>
          </w:tcPr>
          <w:p>
            <w:pPr>
              <w:jc w:val="center"/>
              <w:rPr>
                <w:b/>
                <w:sz w:val="22"/>
                <w:szCs w:val="22"/>
              </w:rPr>
            </w:pPr>
            <w:r>
              <w:rPr>
                <w:b/>
                <w:sz w:val="22"/>
                <w:szCs w:val="22"/>
              </w:rPr>
              <w:t>Važiavimas kelių transporto priemone (jų junginiu) su kroviniu ar be jo, viršijant leidžiamą ilgį ir (ar) plotį, ir (ar) aukštį</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5.</w:t>
            </w:r>
          </w:p>
        </w:tc>
        <w:tc>
          <w:tcPr>
            <w:tcW w:w="736" w:type="dxa"/>
            <w:vMerge w:val="restart"/>
            <w:tcMar>
              <w:left w:w="28" w:type="dxa"/>
              <w:right w:w="28" w:type="dxa"/>
            </w:tcMar>
            <w:vAlign w:val="center"/>
          </w:tcPr>
          <w:p>
            <w:pPr>
              <w:jc w:val="center"/>
              <w:rPr>
                <w:sz w:val="22"/>
                <w:szCs w:val="22"/>
              </w:rPr>
            </w:pPr>
            <w:r>
              <w:rPr>
                <w:sz w:val="22"/>
                <w:szCs w:val="22"/>
              </w:rPr>
              <w:t>SD5</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kurios ilgis su kroviniu ar be jo viršijo leidžiamą, be leidimo arba viršydamas leidime nurodytus dydžius</w:t>
            </w:r>
          </w:p>
        </w:tc>
        <w:tc>
          <w:tcPr>
            <w:tcW w:w="2874" w:type="dxa"/>
            <w:gridSpan w:val="2"/>
            <w:tcMar>
              <w:left w:w="28" w:type="dxa"/>
              <w:right w:w="28" w:type="dxa"/>
            </w:tcMar>
            <w:vAlign w:val="center"/>
          </w:tcPr>
          <w:p>
            <w:pPr>
              <w:rPr>
                <w:sz w:val="22"/>
                <w:szCs w:val="22"/>
              </w:rPr>
            </w:pPr>
            <w:r>
              <w:rPr>
                <w:sz w:val="22"/>
                <w:szCs w:val="22"/>
              </w:rPr>
              <w:t>Daugiau kaip 1 m, bet ne daugiau kaip 3 m</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3 m, bet ne daugiau kaip 5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5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6.</w:t>
            </w:r>
          </w:p>
        </w:tc>
        <w:tc>
          <w:tcPr>
            <w:tcW w:w="736" w:type="dxa"/>
            <w:vMerge w:val="restart"/>
            <w:tcMar>
              <w:left w:w="28" w:type="dxa"/>
              <w:right w:w="28" w:type="dxa"/>
            </w:tcMar>
            <w:vAlign w:val="center"/>
          </w:tcPr>
          <w:p>
            <w:pPr>
              <w:jc w:val="center"/>
              <w:rPr>
                <w:sz w:val="22"/>
                <w:szCs w:val="22"/>
              </w:rPr>
            </w:pPr>
            <w:r>
              <w:rPr>
                <w:sz w:val="22"/>
                <w:szCs w:val="22"/>
              </w:rPr>
              <w:t>SD6</w:t>
            </w:r>
          </w:p>
        </w:tc>
        <w:tc>
          <w:tcPr>
            <w:tcW w:w="3491" w:type="dxa"/>
            <w:vMerge w:val="restart"/>
            <w:tcMar>
              <w:left w:w="28" w:type="dxa"/>
              <w:right w:w="28" w:type="dxa"/>
            </w:tcMar>
            <w:vAlign w:val="center"/>
          </w:tcPr>
          <w:p>
            <w:pPr>
              <w:rPr>
                <w:sz w:val="22"/>
                <w:szCs w:val="22"/>
              </w:rPr>
            </w:pPr>
            <w:r>
              <w:rPr>
                <w:sz w:val="22"/>
                <w:szCs w:val="22"/>
              </w:rPr>
              <w:t>Vairuotojas vairavo pakrautą autovežį (automobilį su priekaba), kurio ilgis viršijo leidžiamą</w:t>
            </w:r>
          </w:p>
        </w:tc>
        <w:tc>
          <w:tcPr>
            <w:tcW w:w="2874" w:type="dxa"/>
            <w:gridSpan w:val="2"/>
            <w:tcMar>
              <w:left w:w="28" w:type="dxa"/>
              <w:right w:w="28" w:type="dxa"/>
            </w:tcMar>
            <w:vAlign w:val="center"/>
          </w:tcPr>
          <w:p>
            <w:pPr>
              <w:rPr>
                <w:sz w:val="22"/>
                <w:szCs w:val="22"/>
              </w:rPr>
            </w:pPr>
            <w:r>
              <w:rPr>
                <w:sz w:val="22"/>
                <w:szCs w:val="22"/>
              </w:rPr>
              <w:t>Ne daugiau kaip 0,1 m</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0,1 m, bet ne daugiau kaip 0,2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0,2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7.</w:t>
            </w:r>
          </w:p>
        </w:tc>
        <w:tc>
          <w:tcPr>
            <w:tcW w:w="736" w:type="dxa"/>
            <w:vMerge w:val="restart"/>
            <w:tcMar>
              <w:left w:w="28" w:type="dxa"/>
              <w:right w:w="28" w:type="dxa"/>
            </w:tcMar>
            <w:vAlign w:val="center"/>
          </w:tcPr>
          <w:p>
            <w:pPr>
              <w:jc w:val="center"/>
              <w:rPr>
                <w:sz w:val="22"/>
                <w:szCs w:val="22"/>
              </w:rPr>
            </w:pPr>
            <w:r>
              <w:rPr>
                <w:sz w:val="22"/>
                <w:szCs w:val="22"/>
              </w:rPr>
              <w:t>SD7</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kurios plotis su kroviniu ar be jo viršijo leidžiamą, be leidimo arba viršydamas leidime nurodytus dydžius</w:t>
            </w:r>
          </w:p>
        </w:tc>
        <w:tc>
          <w:tcPr>
            <w:tcW w:w="2874" w:type="dxa"/>
            <w:gridSpan w:val="2"/>
            <w:tcMar>
              <w:left w:w="28" w:type="dxa"/>
              <w:right w:w="28" w:type="dxa"/>
            </w:tcMar>
            <w:vAlign w:val="center"/>
          </w:tcPr>
          <w:p>
            <w:pPr>
              <w:rPr>
                <w:sz w:val="22"/>
                <w:szCs w:val="22"/>
              </w:rPr>
            </w:pPr>
            <w:r>
              <w:rPr>
                <w:sz w:val="22"/>
                <w:szCs w:val="22"/>
              </w:rPr>
              <w:t>Daugiau kaip 0,09 m, bet ne daugiau kaip 0,2 m</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0,2 m, bet ne daugiau kaip 0,4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0,4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8.</w:t>
            </w:r>
          </w:p>
        </w:tc>
        <w:tc>
          <w:tcPr>
            <w:tcW w:w="736" w:type="dxa"/>
            <w:vMerge w:val="restart"/>
            <w:tcMar>
              <w:left w:w="28" w:type="dxa"/>
              <w:right w:w="28" w:type="dxa"/>
            </w:tcMar>
            <w:vAlign w:val="center"/>
          </w:tcPr>
          <w:p>
            <w:pPr>
              <w:jc w:val="center"/>
              <w:rPr>
                <w:sz w:val="22"/>
                <w:szCs w:val="22"/>
              </w:rPr>
            </w:pPr>
            <w:r>
              <w:rPr>
                <w:sz w:val="22"/>
                <w:szCs w:val="22"/>
              </w:rPr>
              <w:t>SD8</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kurios aukštis su kroviniu ar be jo viršijo leidžiamą, be leidimo arba viršydamas leidime nurodytus dydžius</w:t>
            </w:r>
          </w:p>
        </w:tc>
        <w:tc>
          <w:tcPr>
            <w:tcW w:w="2874" w:type="dxa"/>
            <w:gridSpan w:val="2"/>
            <w:tcMar>
              <w:left w:w="28" w:type="dxa"/>
              <w:right w:w="28" w:type="dxa"/>
            </w:tcMar>
            <w:vAlign w:val="center"/>
          </w:tcPr>
          <w:p>
            <w:pPr>
              <w:rPr>
                <w:sz w:val="22"/>
                <w:szCs w:val="22"/>
              </w:rPr>
            </w:pPr>
            <w:r>
              <w:rPr>
                <w:sz w:val="22"/>
                <w:szCs w:val="22"/>
              </w:rPr>
              <w:t>Daugiau kaip 0,1 m, bet ne daugiau kaip 0,2 m</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0,2 m, bet ne daugiau kaip 0,4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0,4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vMerge w:val="restart"/>
            <w:tcMar>
              <w:left w:w="28" w:type="dxa"/>
              <w:right w:w="28" w:type="dxa"/>
            </w:tcMar>
            <w:vAlign w:val="center"/>
          </w:tcPr>
          <w:p>
            <w:pPr>
              <w:jc w:val="center"/>
              <w:rPr>
                <w:sz w:val="22"/>
                <w:szCs w:val="22"/>
              </w:rPr>
            </w:pPr>
            <w:r>
              <w:rPr>
                <w:sz w:val="22"/>
                <w:szCs w:val="22"/>
              </w:rPr>
              <w:t>9.</w:t>
            </w:r>
          </w:p>
        </w:tc>
        <w:tc>
          <w:tcPr>
            <w:tcW w:w="736" w:type="dxa"/>
            <w:vMerge w:val="restart"/>
            <w:tcMar>
              <w:left w:w="28" w:type="dxa"/>
              <w:right w:w="28" w:type="dxa"/>
            </w:tcMar>
            <w:vAlign w:val="center"/>
          </w:tcPr>
          <w:p>
            <w:pPr>
              <w:jc w:val="center"/>
              <w:rPr>
                <w:sz w:val="22"/>
                <w:szCs w:val="22"/>
              </w:rPr>
            </w:pPr>
            <w:r>
              <w:rPr>
                <w:sz w:val="22"/>
                <w:szCs w:val="22"/>
              </w:rPr>
              <w:t>SD9</w:t>
            </w:r>
          </w:p>
        </w:tc>
        <w:tc>
          <w:tcPr>
            <w:tcW w:w="3491" w:type="dxa"/>
            <w:vMerge w:val="restart"/>
            <w:tcMar>
              <w:left w:w="28" w:type="dxa"/>
              <w:right w:w="28" w:type="dxa"/>
            </w:tcMar>
            <w:vAlign w:val="center"/>
          </w:tcPr>
          <w:p>
            <w:pPr>
              <w:rPr>
                <w:sz w:val="22"/>
                <w:szCs w:val="22"/>
              </w:rPr>
            </w:pPr>
            <w:r>
              <w:rPr>
                <w:sz w:val="22"/>
                <w:szCs w:val="22"/>
              </w:rPr>
              <w:t>Vairuotojas vairavo kelių transporto priemonę (jų junginį) su kroviniu ar be jo, vežančią konteinerį, aukštesnį kaip 2,6 m (9 pėdos ir 6 coliai) pagal ISO standartus</w:t>
            </w:r>
          </w:p>
        </w:tc>
        <w:tc>
          <w:tcPr>
            <w:tcW w:w="2874" w:type="dxa"/>
            <w:gridSpan w:val="2"/>
            <w:tcMar>
              <w:left w:w="28" w:type="dxa"/>
              <w:right w:w="28" w:type="dxa"/>
            </w:tcMar>
            <w:vAlign w:val="center"/>
          </w:tcPr>
          <w:p>
            <w:pPr>
              <w:rPr>
                <w:sz w:val="22"/>
                <w:szCs w:val="22"/>
              </w:rPr>
            </w:pPr>
            <w:r>
              <w:rPr>
                <w:sz w:val="22"/>
                <w:szCs w:val="22"/>
              </w:rPr>
              <w:t>Daugiau kaip 0,1 m, bet ne daugiau kaip 0,2 m</w:t>
            </w:r>
          </w:p>
        </w:tc>
        <w:tc>
          <w:tcPr>
            <w:tcW w:w="467"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0,2 m, bet ne daugiau kaip 0,4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c>
          <w:tcPr>
            <w:tcW w:w="468" w:type="dxa"/>
            <w:tcMar>
              <w:left w:w="28" w:type="dxa"/>
              <w:right w:w="28" w:type="dxa"/>
            </w:tcMar>
            <w:vAlign w:val="center"/>
          </w:tcPr>
          <w:p>
            <w:pPr>
              <w:jc w:val="center"/>
              <w:rPr>
                <w:sz w:val="22"/>
                <w:szCs w:val="22"/>
              </w:rPr>
            </w:pPr>
          </w:p>
        </w:tc>
      </w:tr>
      <w:tr>
        <w:trPr>
          <w:trHeight w:val="20"/>
        </w:trPr>
        <w:tc>
          <w:tcPr>
            <w:tcW w:w="623" w:type="dxa"/>
            <w:vMerge/>
            <w:tcMar>
              <w:left w:w="28" w:type="dxa"/>
              <w:right w:w="28" w:type="dxa"/>
            </w:tcMar>
            <w:vAlign w:val="center"/>
          </w:tcPr>
          <w:p>
            <w:pPr>
              <w:jc w:val="center"/>
              <w:rPr>
                <w:sz w:val="22"/>
                <w:szCs w:val="22"/>
              </w:rPr>
            </w:pPr>
          </w:p>
        </w:tc>
        <w:tc>
          <w:tcPr>
            <w:tcW w:w="736" w:type="dxa"/>
            <w:vMerge/>
            <w:tcBorders>
              <w:bottom w:val="single" w:sz="4" w:space="0" w:color="auto"/>
            </w:tcBorders>
            <w:tcMar>
              <w:left w:w="28" w:type="dxa"/>
              <w:right w:w="28" w:type="dxa"/>
            </w:tcMar>
            <w:vAlign w:val="center"/>
          </w:tcPr>
          <w:p>
            <w:pPr>
              <w:jc w:val="center"/>
              <w:rPr>
                <w:sz w:val="22"/>
                <w:szCs w:val="22"/>
              </w:rPr>
            </w:pPr>
          </w:p>
        </w:tc>
        <w:tc>
          <w:tcPr>
            <w:tcW w:w="3491" w:type="dxa"/>
            <w:vMerge/>
            <w:tcMar>
              <w:left w:w="28" w:type="dxa"/>
              <w:right w:w="28" w:type="dxa"/>
            </w:tcMar>
            <w:vAlign w:val="center"/>
          </w:tcPr>
          <w:p>
            <w:pPr>
              <w:rPr>
                <w:sz w:val="22"/>
                <w:szCs w:val="22"/>
              </w:rPr>
            </w:pPr>
          </w:p>
        </w:tc>
        <w:tc>
          <w:tcPr>
            <w:tcW w:w="2874" w:type="dxa"/>
            <w:gridSpan w:val="2"/>
            <w:tcMar>
              <w:left w:w="28" w:type="dxa"/>
              <w:right w:w="28" w:type="dxa"/>
            </w:tcMar>
            <w:vAlign w:val="center"/>
          </w:tcPr>
          <w:p>
            <w:pPr>
              <w:rPr>
                <w:sz w:val="22"/>
                <w:szCs w:val="22"/>
              </w:rPr>
            </w:pPr>
            <w:r>
              <w:rPr>
                <w:sz w:val="22"/>
                <w:szCs w:val="22"/>
              </w:rPr>
              <w:t>Daugiau kaip 0,4 m</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tcMar>
              <w:left w:w="28" w:type="dxa"/>
              <w:right w:w="28" w:type="dxa"/>
            </w:tcMar>
            <w:vAlign w:val="center"/>
          </w:tcPr>
          <w:p>
            <w:pPr>
              <w:jc w:val="center"/>
              <w:rPr>
                <w:sz w:val="22"/>
                <w:szCs w:val="22"/>
              </w:rPr>
            </w:pPr>
            <w:r>
              <w:rPr>
                <w:sz w:val="22"/>
                <w:szCs w:val="22"/>
              </w:rPr>
              <w:t>10.</w:t>
            </w:r>
          </w:p>
        </w:tc>
        <w:tc>
          <w:tcPr>
            <w:tcW w:w="736" w:type="dxa"/>
            <w:tcBorders>
              <w:top w:val="single" w:sz="4" w:space="0" w:color="auto"/>
            </w:tcBorders>
            <w:tcMar>
              <w:left w:w="28" w:type="dxa"/>
              <w:right w:w="28" w:type="dxa"/>
            </w:tcMar>
            <w:vAlign w:val="center"/>
          </w:tcPr>
          <w:p>
            <w:pPr>
              <w:jc w:val="center"/>
              <w:rPr>
                <w:sz w:val="22"/>
                <w:szCs w:val="22"/>
              </w:rPr>
            </w:pPr>
            <w:r>
              <w:rPr>
                <w:sz w:val="22"/>
                <w:szCs w:val="22"/>
              </w:rPr>
              <w:t>SD10</w:t>
            </w:r>
          </w:p>
        </w:tc>
        <w:tc>
          <w:tcPr>
            <w:tcW w:w="6365" w:type="dxa"/>
            <w:gridSpan w:val="3"/>
            <w:tcMar>
              <w:left w:w="28" w:type="dxa"/>
              <w:right w:w="28" w:type="dxa"/>
            </w:tcMar>
            <w:vAlign w:val="center"/>
          </w:tcPr>
          <w:p>
            <w:pPr>
              <w:rPr>
                <w:sz w:val="22"/>
                <w:szCs w:val="22"/>
              </w:rPr>
            </w:pPr>
            <w:r>
              <w:rPr>
                <w:sz w:val="22"/>
                <w:szCs w:val="22"/>
              </w:rPr>
              <w:t>Vairuotojas tamsiu paros metu vairavo kelių transporto priemonę (jų junginį), kurios plotis su kroviniu ar be jo viršijo 3,5 m, be policijos automobilio palydos</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tcMar>
              <w:left w:w="28" w:type="dxa"/>
              <w:right w:w="28" w:type="dxa"/>
            </w:tcMar>
            <w:vAlign w:val="center"/>
          </w:tcPr>
          <w:p>
            <w:pPr>
              <w:jc w:val="center"/>
              <w:rPr>
                <w:sz w:val="22"/>
                <w:szCs w:val="22"/>
              </w:rPr>
            </w:pPr>
            <w:r>
              <w:rPr>
                <w:sz w:val="22"/>
                <w:szCs w:val="22"/>
              </w:rPr>
              <w:t>11.</w:t>
            </w:r>
          </w:p>
        </w:tc>
        <w:tc>
          <w:tcPr>
            <w:tcW w:w="736" w:type="dxa"/>
            <w:tcMar>
              <w:left w:w="28" w:type="dxa"/>
              <w:right w:w="28" w:type="dxa"/>
            </w:tcMar>
            <w:vAlign w:val="center"/>
          </w:tcPr>
          <w:p>
            <w:pPr>
              <w:jc w:val="center"/>
              <w:rPr>
                <w:sz w:val="22"/>
                <w:szCs w:val="22"/>
              </w:rPr>
            </w:pPr>
            <w:r>
              <w:rPr>
                <w:sz w:val="22"/>
                <w:szCs w:val="22"/>
              </w:rPr>
              <w:t>SD11</w:t>
            </w:r>
          </w:p>
        </w:tc>
        <w:tc>
          <w:tcPr>
            <w:tcW w:w="6365" w:type="dxa"/>
            <w:gridSpan w:val="3"/>
            <w:tcMar>
              <w:left w:w="28" w:type="dxa"/>
              <w:right w:w="28" w:type="dxa"/>
            </w:tcMar>
            <w:vAlign w:val="center"/>
          </w:tcPr>
          <w:p>
            <w:pPr>
              <w:rPr>
                <w:sz w:val="22"/>
                <w:szCs w:val="22"/>
              </w:rPr>
            </w:pPr>
            <w:r>
              <w:rPr>
                <w:sz w:val="22"/>
                <w:szCs w:val="22"/>
              </w:rPr>
              <w:t>Vairuotojas tamsiu paros metu vairavo kelių transporto priemonę (jų junginį), kurios ilgis su kroviniu ar be jo viršijo 24 m, be policijos automobilio palydos</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tcMar>
              <w:left w:w="28" w:type="dxa"/>
              <w:right w:w="28" w:type="dxa"/>
            </w:tcMar>
            <w:vAlign w:val="center"/>
          </w:tcPr>
          <w:p>
            <w:pPr>
              <w:jc w:val="center"/>
              <w:rPr>
                <w:sz w:val="22"/>
                <w:szCs w:val="22"/>
              </w:rPr>
            </w:pPr>
            <w:r>
              <w:rPr>
                <w:sz w:val="22"/>
                <w:szCs w:val="22"/>
              </w:rPr>
              <w:t>12.</w:t>
            </w:r>
          </w:p>
        </w:tc>
        <w:tc>
          <w:tcPr>
            <w:tcW w:w="736" w:type="dxa"/>
            <w:tcMar>
              <w:left w:w="28" w:type="dxa"/>
              <w:right w:w="28" w:type="dxa"/>
            </w:tcMar>
            <w:vAlign w:val="center"/>
          </w:tcPr>
          <w:p>
            <w:pPr>
              <w:jc w:val="center"/>
              <w:rPr>
                <w:sz w:val="22"/>
                <w:szCs w:val="22"/>
              </w:rPr>
            </w:pPr>
            <w:r>
              <w:rPr>
                <w:sz w:val="22"/>
                <w:szCs w:val="22"/>
              </w:rPr>
              <w:t>SD12</w:t>
            </w:r>
          </w:p>
        </w:tc>
        <w:tc>
          <w:tcPr>
            <w:tcW w:w="6365" w:type="dxa"/>
            <w:gridSpan w:val="3"/>
            <w:tcMar>
              <w:left w:w="28" w:type="dxa"/>
              <w:right w:w="28" w:type="dxa"/>
            </w:tcMar>
            <w:vAlign w:val="center"/>
          </w:tcPr>
          <w:p>
            <w:pPr>
              <w:rPr>
                <w:sz w:val="22"/>
                <w:szCs w:val="22"/>
              </w:rPr>
            </w:pPr>
            <w:r>
              <w:rPr>
                <w:sz w:val="22"/>
                <w:szCs w:val="22"/>
              </w:rPr>
              <w:t>Vairuotojas vairavo kelių transporto priemonę (jų junginį), kurios plotis su kroviniu ar be jo viršijo 4 m, be policijos automobilio palydos</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tcMar>
              <w:left w:w="28" w:type="dxa"/>
              <w:right w:w="28" w:type="dxa"/>
            </w:tcMar>
            <w:vAlign w:val="center"/>
          </w:tcPr>
          <w:p>
            <w:pPr>
              <w:jc w:val="center"/>
              <w:rPr>
                <w:sz w:val="22"/>
                <w:szCs w:val="22"/>
              </w:rPr>
            </w:pPr>
            <w:r>
              <w:rPr>
                <w:sz w:val="22"/>
                <w:szCs w:val="22"/>
              </w:rPr>
              <w:t>13.</w:t>
            </w:r>
          </w:p>
        </w:tc>
        <w:tc>
          <w:tcPr>
            <w:tcW w:w="736" w:type="dxa"/>
            <w:tcMar>
              <w:left w:w="28" w:type="dxa"/>
              <w:right w:w="28" w:type="dxa"/>
            </w:tcMar>
            <w:vAlign w:val="center"/>
          </w:tcPr>
          <w:p>
            <w:pPr>
              <w:jc w:val="center"/>
              <w:rPr>
                <w:sz w:val="22"/>
                <w:szCs w:val="22"/>
              </w:rPr>
            </w:pPr>
            <w:r>
              <w:rPr>
                <w:sz w:val="22"/>
                <w:szCs w:val="22"/>
              </w:rPr>
              <w:t>SD13</w:t>
            </w:r>
          </w:p>
        </w:tc>
        <w:tc>
          <w:tcPr>
            <w:tcW w:w="6365" w:type="dxa"/>
            <w:gridSpan w:val="3"/>
            <w:tcMar>
              <w:left w:w="28" w:type="dxa"/>
              <w:right w:w="28" w:type="dxa"/>
            </w:tcMar>
            <w:vAlign w:val="center"/>
          </w:tcPr>
          <w:p>
            <w:pPr>
              <w:rPr>
                <w:sz w:val="22"/>
                <w:szCs w:val="22"/>
              </w:rPr>
            </w:pPr>
            <w:r>
              <w:rPr>
                <w:sz w:val="22"/>
                <w:szCs w:val="22"/>
              </w:rPr>
              <w:t xml:space="preserve">Vairuotojas vairavo kelių transporto priemonę (jų junginį),  kurios ilgis su kroviniu ar be jo viršijo 25 m, be policijos automobilio palydos</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9127" w:type="dxa"/>
            <w:gridSpan w:val="8"/>
            <w:tcMar>
              <w:left w:w="28" w:type="dxa"/>
              <w:right w:w="28" w:type="dxa"/>
            </w:tcMar>
            <w:vAlign w:val="center"/>
          </w:tcPr>
          <w:p>
            <w:pPr>
              <w:jc w:val="center"/>
              <w:rPr>
                <w:b/>
                <w:sz w:val="22"/>
                <w:szCs w:val="22"/>
              </w:rPr>
            </w:pPr>
            <w:r>
              <w:rPr>
                <w:b/>
                <w:sz w:val="22"/>
                <w:szCs w:val="22"/>
              </w:rPr>
              <w:t>Važiavimas miškovežiu, viršijant leidžiamą pakrautos medienos rietuvės aukštį nuo statramsčių apačios</w:t>
            </w:r>
          </w:p>
        </w:tc>
      </w:tr>
      <w:tr>
        <w:trPr>
          <w:trHeight w:val="20"/>
        </w:trPr>
        <w:tc>
          <w:tcPr>
            <w:tcW w:w="623" w:type="dxa"/>
            <w:tcMar>
              <w:left w:w="28" w:type="dxa"/>
              <w:right w:w="28" w:type="dxa"/>
            </w:tcMar>
            <w:vAlign w:val="center"/>
          </w:tcPr>
          <w:p>
            <w:pPr>
              <w:jc w:val="center"/>
              <w:rPr>
                <w:sz w:val="22"/>
                <w:szCs w:val="22"/>
              </w:rPr>
            </w:pPr>
            <w:r>
              <w:rPr>
                <w:sz w:val="22"/>
                <w:szCs w:val="22"/>
              </w:rPr>
              <w:t>14.</w:t>
            </w:r>
          </w:p>
        </w:tc>
        <w:tc>
          <w:tcPr>
            <w:tcW w:w="736" w:type="dxa"/>
            <w:tcMar>
              <w:left w:w="28" w:type="dxa"/>
              <w:right w:w="28" w:type="dxa"/>
            </w:tcMar>
            <w:vAlign w:val="center"/>
          </w:tcPr>
          <w:p>
            <w:pPr>
              <w:jc w:val="center"/>
              <w:rPr>
                <w:sz w:val="22"/>
                <w:szCs w:val="22"/>
              </w:rPr>
            </w:pPr>
            <w:r>
              <w:rPr>
                <w:sz w:val="22"/>
                <w:szCs w:val="22"/>
              </w:rPr>
              <w:t>SD14</w:t>
            </w:r>
          </w:p>
        </w:tc>
        <w:tc>
          <w:tcPr>
            <w:tcW w:w="3884" w:type="dxa"/>
            <w:gridSpan w:val="2"/>
            <w:tcMar>
              <w:left w:w="28" w:type="dxa"/>
              <w:right w:w="28" w:type="dxa"/>
            </w:tcMar>
            <w:vAlign w:val="center"/>
          </w:tcPr>
          <w:p>
            <w:pPr>
              <w:rPr>
                <w:sz w:val="22"/>
                <w:szCs w:val="22"/>
              </w:rPr>
            </w:pPr>
            <w:r>
              <w:rPr>
                <w:sz w:val="22"/>
                <w:szCs w:val="22"/>
              </w:rPr>
              <w:t xml:space="preserve">Vairuotojas vairavo miškovežį, kurio pakrautos medienos rietuvė nuo statramsčių apačios viršijo leidžiamą 1,6 m aukštį, neturėdamas techninės ekspertizės išvados (ar nustatyta tvarka patvirtintos jos kopijos) </w:t>
            </w:r>
          </w:p>
        </w:tc>
        <w:tc>
          <w:tcPr>
            <w:tcW w:w="2481" w:type="dxa"/>
            <w:tcMar>
              <w:left w:w="28" w:type="dxa"/>
              <w:right w:w="28" w:type="dxa"/>
            </w:tcMar>
            <w:vAlign w:val="center"/>
          </w:tcPr>
          <w:p>
            <w:pPr>
              <w:rPr>
                <w:sz w:val="22"/>
                <w:szCs w:val="22"/>
              </w:rPr>
            </w:pPr>
            <w:r>
              <w:rPr>
                <w:sz w:val="22"/>
                <w:szCs w:val="22"/>
              </w:rPr>
              <w:t xml:space="preserve">Daugiau kaip 0,1 m </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623" w:type="dxa"/>
            <w:tcMar>
              <w:left w:w="28" w:type="dxa"/>
              <w:right w:w="28" w:type="dxa"/>
            </w:tcMar>
            <w:vAlign w:val="center"/>
          </w:tcPr>
          <w:p>
            <w:pPr>
              <w:jc w:val="center"/>
              <w:rPr>
                <w:sz w:val="22"/>
                <w:szCs w:val="22"/>
              </w:rPr>
            </w:pPr>
            <w:r>
              <w:rPr>
                <w:sz w:val="22"/>
                <w:szCs w:val="22"/>
              </w:rPr>
              <w:t>15.</w:t>
            </w:r>
          </w:p>
        </w:tc>
        <w:tc>
          <w:tcPr>
            <w:tcW w:w="736" w:type="dxa"/>
            <w:tcMar>
              <w:left w:w="28" w:type="dxa"/>
              <w:right w:w="28" w:type="dxa"/>
            </w:tcMar>
            <w:vAlign w:val="center"/>
          </w:tcPr>
          <w:p>
            <w:pPr>
              <w:jc w:val="center"/>
              <w:rPr>
                <w:sz w:val="22"/>
                <w:szCs w:val="22"/>
              </w:rPr>
            </w:pPr>
            <w:r>
              <w:rPr>
                <w:sz w:val="22"/>
                <w:szCs w:val="22"/>
              </w:rPr>
              <w:t>SD15</w:t>
            </w:r>
          </w:p>
        </w:tc>
        <w:tc>
          <w:tcPr>
            <w:tcW w:w="3884" w:type="dxa"/>
            <w:gridSpan w:val="2"/>
            <w:tcMar>
              <w:left w:w="28" w:type="dxa"/>
              <w:right w:w="28" w:type="dxa"/>
            </w:tcMar>
            <w:vAlign w:val="center"/>
          </w:tcPr>
          <w:p>
            <w:pPr>
              <w:rPr>
                <w:sz w:val="22"/>
                <w:szCs w:val="22"/>
              </w:rPr>
            </w:pPr>
            <w:r>
              <w:rPr>
                <w:sz w:val="22"/>
                <w:szCs w:val="22"/>
              </w:rPr>
              <w:t>Vairuotojas vairavo miškovežį, kurio pakrautos medienos rietuvės aukštis nuo statramsčių apačios viršijo nurodytą techninės ekspertizės išvadoje (ar nustatyta tvarka patvirtintoje jos kopijoje)</w:t>
            </w:r>
          </w:p>
        </w:tc>
        <w:tc>
          <w:tcPr>
            <w:tcW w:w="2481" w:type="dxa"/>
            <w:tcMar>
              <w:left w:w="28" w:type="dxa"/>
              <w:right w:w="28" w:type="dxa"/>
            </w:tcMar>
            <w:vAlign w:val="center"/>
          </w:tcPr>
          <w:p>
            <w:pPr>
              <w:rPr>
                <w:sz w:val="22"/>
                <w:szCs w:val="22"/>
              </w:rPr>
            </w:pPr>
            <w:r>
              <w:rPr>
                <w:sz w:val="22"/>
                <w:szCs w:val="22"/>
              </w:rPr>
              <w:t xml:space="preserve">Daugiau kaip 0,1 m </w:t>
            </w:r>
          </w:p>
        </w:tc>
        <w:tc>
          <w:tcPr>
            <w:tcW w:w="467"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p>
        </w:tc>
        <w:tc>
          <w:tcPr>
            <w:tcW w:w="468" w:type="dxa"/>
            <w:tcMar>
              <w:left w:w="28" w:type="dxa"/>
              <w:right w:w="28" w:type="dxa"/>
            </w:tcMar>
            <w:vAlign w:val="center"/>
          </w:tcPr>
          <w:p>
            <w:pPr>
              <w:jc w:val="center"/>
              <w:rPr>
                <w:sz w:val="22"/>
                <w:szCs w:val="22"/>
              </w:rPr>
            </w:pPr>
            <w:r>
              <w:rPr>
                <w:sz w:val="22"/>
                <w:szCs w:val="22"/>
              </w:rPr>
              <w:t>X</w:t>
            </w:r>
          </w:p>
        </w:tc>
      </w:tr>
      <w:tr>
        <w:trPr>
          <w:trHeight w:val="20"/>
        </w:trPr>
        <w:tc>
          <w:tcPr>
            <w:tcW w:w="9127" w:type="dxa"/>
            <w:gridSpan w:val="8"/>
            <w:tcMar>
              <w:left w:w="28" w:type="dxa"/>
              <w:right w:w="28" w:type="dxa"/>
            </w:tcMar>
            <w:vAlign w:val="center"/>
          </w:tcPr>
          <w:p>
            <w:pPr>
              <w:rPr>
                <w:sz w:val="22"/>
                <w:szCs w:val="22"/>
              </w:rPr>
            </w:pPr>
            <w:r>
              <w:rPr>
                <w:sz w:val="22"/>
                <w:szCs w:val="22"/>
              </w:rPr>
              <w:t>*I – nesunkus pažeidimas, II – sunkus pažeidimas, III – labai sunkus pažeidimas.</w:t>
            </w:r>
          </w:p>
        </w:tc>
      </w:tr>
    </w:tbl>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7783</Characters>
  <Application>Microsoft Office Word</Application>
  <DocSecurity>4</DocSecurity>
  <Lines>432</Lines>
  <Paragraphs>193</Paragraphs>
  <ScaleCrop>false</ScaleCrop>
  <Company>Teisines informacijos centras</Company>
  <LinksUpToDate>false</LinksUpToDate>
  <CharactersWithSpaces>8917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2015-09-11T15:55:00Z</dcterms:created>
  <dc:creator>Sandra</dc:creator>
  <lastModifiedBy>Adlib User</lastModifiedBy>
  <dcterms:modified xsi:type="dcterms:W3CDTF">2015-09-11T15:55:00Z</dcterms:modified>
  <revision>2</revision>
  <dc:title>VALSTYBINĖS KELIŲ TRANSPORTO INSPEKCIJOS</dc:title>
</coreProperties>
</file>