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RADIACINĖS SAUGOS CENTRO DIREKTORIUS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DARBUOTOJO PROFESINĖS APŠVITOS DOZIŲ PASO FORMOS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2001 m. sausio 30 d. Nr. 16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</w:t>
      </w:r>
      <w:smartTag w:uri="urn:schemas-microsoft-com:office:smarttags" w:element="metricconverter">
        <w:smartTagPr>
          <w:attr w:name="ProductID" w:val="1999 m"/>
        </w:smartTagPr>
        <w:r>
          <w:rPr>
            <w:color w:val="000000"/>
          </w:rPr>
          <w:t>1999 m</w:t>
        </w:r>
      </w:smartTag>
      <w:r>
        <w:rPr>
          <w:color w:val="000000"/>
        </w:rPr>
        <w:t xml:space="preserve">. gruodžio 31 d. įsakymo Nr. 44 „Dėl darbuotojų apšvitos ir darbo vietų monitoringo tvarkos patvirtinimo“ 20 punktu (Žin., 2000, Nr. </w:t>
      </w:r>
      <w:fldSimple w:instr="HYPERLINK https://www.e-tar.lt/portal/lt/legalAct/TAR.8AE0FCDAA720 \t _blank">
        <w:r>
          <w:rPr>
            <w:color w:val="0000FF" w:themeColor="hyperlink"/>
            <w:u w:val="single"/>
          </w:rPr>
          <w:t>38-1086</w:t>
        </w:r>
      </w:fldSimple>
      <w:r>
        <w:rPr>
          <w:color w:val="000000"/>
        </w:rPr>
        <w:t>),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TVIRTINU: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Darbuotojo profesinės apšvitos dozių paso formą (priedas).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DIREKTORIUS</w:t>
        <w:tab/>
        <w:t>A. MASTAUSKAS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ind w:firstLine="709"/>
        <w:rPr>
          <w:color w:val="00000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rPr>
          <w:color w:val="000000"/>
        </w:rPr>
      </w:pPr>
      <w:r>
        <w:rPr>
          <w:b/>
          <w:i/>
          <w:color w:val="000000"/>
        </w:rPr>
        <w:t>Paaiškinimai:</w:t>
      </w:r>
      <w:r>
        <w:rPr>
          <w:color w:val="000000"/>
        </w:rPr>
        <w:t xml:space="preserve"> </w:t>
      </w:r>
    </w:p>
    <w:p>
      <w:pPr>
        <w:ind w:firstLine="709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Individualiosios dozės ekvivalentas </w:t>
      </w: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p</w:t>
      </w:r>
      <w:r>
        <w:rPr>
          <w:b/>
          <w:color w:val="000000"/>
        </w:rPr>
        <w:t xml:space="preserve">(d) </w:t>
      </w:r>
      <w:r>
        <w:rPr>
          <w:color w:val="000000"/>
        </w:rPr>
        <w:t>yra lygiavertė dozė, kurią gauna minkštieji audiniai tam tikrame gylyje žemiau nurodyto taško žmogaus kūne.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p</w:t>
      </w:r>
      <w:r>
        <w:rPr>
          <w:b/>
          <w:color w:val="000000"/>
        </w:rPr>
        <w:t>(10)</w:t>
      </w:r>
      <w:r>
        <w:rPr>
          <w:color w:val="000000"/>
        </w:rPr>
        <w:t xml:space="preserve"> – individualiosios dozės ekvivalentas skvarbiajai jonizuojančiajai spinduliuotei. Pagal jį įvertinama išorinės apšvitos efektinė dozė.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p</w:t>
      </w:r>
      <w:r>
        <w:rPr>
          <w:b/>
          <w:color w:val="000000"/>
        </w:rPr>
        <w:t>(0,07)</w:t>
      </w:r>
      <w:r>
        <w:rPr>
          <w:color w:val="000000"/>
        </w:rPr>
        <w:t xml:space="preserve"> – individualiosios dozės ekvivalentas neskvarbiajai jonizuojančiajai spinduliuotei. Pagal jį įvertinama odos bei galūnių lygiavertė dozė.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p</w:t>
      </w:r>
      <w:r>
        <w:rPr>
          <w:b/>
          <w:color w:val="000000"/>
        </w:rPr>
        <w:t>(3)</w:t>
      </w:r>
      <w:r>
        <w:rPr>
          <w:color w:val="000000"/>
        </w:rPr>
        <w:t xml:space="preserve"> – individualiosios dozės ekvivalentas akies lęšiuko lygiavertei dozei įvertinti.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p</w:t>
      </w:r>
      <w:r>
        <w:rPr>
          <w:b/>
          <w:color w:val="000000"/>
        </w:rPr>
        <w:t xml:space="preserve">(n) – </w:t>
      </w:r>
      <w:r>
        <w:rPr>
          <w:color w:val="000000"/>
        </w:rPr>
        <w:t>individualiosios dozės ekvivalentas neutronų dozei įvertinti.</w:t>
      </w:r>
    </w:p>
    <w:p>
      <w:pPr>
        <w:jc w:val="both"/>
        <w:rPr>
          <w:color w:val="000000"/>
        </w:rPr>
      </w:pPr>
      <w:r>
        <w:rPr>
          <w:b/>
          <w:color w:val="000000"/>
        </w:rPr>
        <w:t xml:space="preserve">H(50) </w:t>
      </w:r>
      <w:r>
        <w:rPr>
          <w:color w:val="000000"/>
        </w:rPr>
        <w:t>– kaupiamoji efektinė dozė.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E</w:t>
      </w:r>
      <w:r>
        <w:rPr>
          <w:color w:val="000000"/>
        </w:rPr>
        <w:t xml:space="preserve"> – metinė dozė. Ji lygi išorinės apšvitos dozės ir kaupiamosios efektinės dozės sumai.</w:t>
      </w:r>
    </w:p>
    <w:p>
      <w:pPr>
        <w:jc w:val="both"/>
        <w:rPr>
          <w:color w:val="000000"/>
        </w:rPr>
      </w:pPr>
      <w:r>
        <w:rPr>
          <w:color w:val="000000"/>
        </w:rPr>
        <w:t>Visos dozės pase pateikiamos mGy ir mSv.</w:t>
      </w:r>
    </w:p>
    <w:p>
      <w:pPr>
        <w:jc w:val="both"/>
        <w:rPr>
          <w:color w:val="000000"/>
        </w:rPr>
      </w:pPr>
    </w:p>
    <w:p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Pastabos:</w:t>
      </w:r>
    </w:p>
    <w:p>
      <w:pPr>
        <w:ind w:firstLine="709"/>
        <w:jc w:val="both"/>
        <w:rPr>
          <w:b/>
          <w:i/>
          <w:color w:val="000000"/>
        </w:rPr>
      </w:pPr>
    </w:p>
    <w:p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Licencijos turėtojas (darbdavys) darbuotojo profesinės apšvitos dozių pase turi įrašyti darbuotojo: </w:t>
      </w:r>
    </w:p>
    <w:p>
      <w:pPr>
        <w:tabs>
          <w:tab w:val="left" w:pos="0"/>
          <w:tab w:val="left" w:pos="360"/>
        </w:tabs>
        <w:jc w:val="both"/>
        <w:rPr>
          <w:color w:val="000000"/>
        </w:rPr>
      </w:pPr>
      <w:r>
        <w:rPr>
          <w:color w:val="000000"/>
        </w:rPr>
        <w:t>• metinės profesinės apšvitos duomenis,</w:t>
      </w:r>
    </w:p>
    <w:p>
      <w:pPr>
        <w:tabs>
          <w:tab w:val="left" w:pos="0"/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• profesinės apšvitos duomenis darbuotojui baigus veiklą (perėjus į kitą darbą, nutraukus darbo sutartį ir kt.). </w:t>
      </w:r>
    </w:p>
    <w:p>
      <w:pPr>
        <w:ind w:firstLine="709"/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Licencijos turėtojas (darbdavys), komandiruojantis darbuotoją veiklai pas kitą licencijos turėtoją, privalo įrašyti darbuotojo profesinės apšvitos dozių pase gautas apšvitos dozes, gautas dirbant pas kitą licencijos turėtoją.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Darbuotojo profesinės apšvitos dozių pasas yra dokumentas, turintis numerį ir galiojantis visą darbuotojo darbo laiką.</w:t>
      </w:r>
    </w:p>
    <w:p/>
    <w:p>
      <w:pPr>
        <w:keepNext/>
        <w:ind w:firstLine="2964"/>
        <w:rPr>
          <w:b/>
          <w:color w:val="000000"/>
          <w:kern w:val="28"/>
        </w:rPr>
      </w:pPr>
      <w:r>
        <w:rPr>
          <w:b/>
          <w:color w:val="000000"/>
          <w:kern w:val="28"/>
        </w:rPr>
        <w:t>PATVIRTINTA</w:t>
      </w:r>
    </w:p>
    <w:p>
      <w:pPr>
        <w:ind w:firstLine="2964"/>
        <w:rPr>
          <w:color w:val="000000"/>
        </w:rPr>
      </w:pPr>
      <w:r>
        <w:rPr>
          <w:color w:val="000000"/>
        </w:rPr>
        <w:t>Radiacinės saugos centro direktoriaus</w:t>
      </w:r>
    </w:p>
    <w:p>
      <w:pPr>
        <w:ind w:firstLine="2964"/>
        <w:rPr>
          <w:color w:val="000000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sausio 30 d. įsakymu Nr. 16</w:t>
      </w:r>
    </w:p>
    <w:p>
      <w:pPr>
        <w:keepNext/>
        <w:jc w:val="center"/>
        <w:rPr>
          <w:b/>
          <w:color w:val="000000"/>
          <w:kern w:val="28"/>
        </w:rPr>
      </w:pPr>
    </w:p>
    <w:p>
      <w:pPr>
        <w:ind w:firstLine="709"/>
        <w:rPr>
          <w:color w:val="000000"/>
        </w:rPr>
      </w:pPr>
    </w:p>
    <w:p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DARBUOTOJO PROFESINĖS</w:t>
      </w:r>
    </w:p>
    <w:p>
      <w:pPr>
        <w:jc w:val="center"/>
        <w:rPr>
          <w:color w:val="000000"/>
        </w:rPr>
      </w:pPr>
    </w:p>
    <w:p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APŠVITOS DOZIŲ PASAS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tabs>
          <w:tab w:val="left" w:pos="5529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Nr.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tbl>
      <w:tblPr>
        <w:tblW w:w="7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</w:tblGrid>
      <w:tr>
        <w:tc>
          <w:tcPr>
            <w:tcW w:w="7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rPr>
                <w:b/>
                <w:i/>
                <w:color w:val="000000"/>
                <w:sz w:val="20"/>
              </w:rPr>
            </w:pPr>
          </w:p>
          <w:p>
            <w:pPr>
              <w:rPr>
                <w:b/>
                <w:i/>
                <w:color w:val="000000"/>
                <w:sz w:val="20"/>
              </w:rPr>
            </w:pPr>
          </w:p>
          <w:p>
            <w:pPr>
              <w:rPr>
                <w:b/>
                <w:i/>
                <w:color w:val="000000"/>
                <w:sz w:val="20"/>
              </w:rPr>
            </w:pPr>
          </w:p>
          <w:p>
            <w:pPr>
              <w:rPr>
                <w:b/>
                <w:i/>
                <w:color w:val="000000"/>
                <w:sz w:val="20"/>
              </w:rPr>
            </w:pPr>
          </w:p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Vardas</w:t>
            </w:r>
          </w:p>
        </w:tc>
      </w:tr>
      <w:tr>
        <w:tc>
          <w:tcPr>
            <w:tcW w:w="7062" w:type="dxa"/>
            <w:tcBorders>
              <w:top w:val="nil"/>
            </w:tcBorders>
          </w:tcPr>
          <w:p>
            <w:pPr>
              <w:rPr>
                <w:b/>
                <w:i/>
                <w:color w:val="000000"/>
                <w:kern w:val="28"/>
                <w:sz w:val="20"/>
              </w:rPr>
            </w:pPr>
          </w:p>
          <w:p>
            <w:pPr>
              <w:rPr>
                <w:b/>
                <w:i/>
                <w:color w:val="000000"/>
                <w:kern w:val="28"/>
                <w:sz w:val="20"/>
              </w:rPr>
            </w:pPr>
            <w:r>
              <w:rPr>
                <w:b/>
                <w:i/>
                <w:color w:val="000000"/>
                <w:kern w:val="28"/>
                <w:sz w:val="20"/>
              </w:rPr>
              <w:t>Pavardė</w:t>
            </w:r>
          </w:p>
        </w:tc>
      </w:tr>
      <w:tr>
        <w:tc>
          <w:tcPr>
            <w:tcW w:w="7062" w:type="dxa"/>
          </w:tcPr>
          <w:p>
            <w:pPr>
              <w:rPr>
                <w:b/>
                <w:i/>
                <w:color w:val="000000"/>
                <w:sz w:val="20"/>
              </w:rPr>
            </w:pPr>
          </w:p>
          <w:p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Kitos pavardės, tarp jų ir mergautinė</w:t>
            </w:r>
          </w:p>
        </w:tc>
      </w:tr>
      <w:tr>
        <w:tc>
          <w:tcPr>
            <w:tcW w:w="7062" w:type="dxa"/>
          </w:tcPr>
          <w:p>
            <w:pPr>
              <w:rPr>
                <w:b/>
                <w:i/>
                <w:color w:val="000000"/>
                <w:kern w:val="28"/>
                <w:sz w:val="20"/>
              </w:rPr>
            </w:pPr>
          </w:p>
          <w:p>
            <w:pPr>
              <w:rPr>
                <w:b/>
                <w:i/>
                <w:color w:val="000000"/>
                <w:kern w:val="28"/>
                <w:sz w:val="20"/>
              </w:rPr>
            </w:pPr>
            <w:r>
              <w:rPr>
                <w:b/>
                <w:i/>
                <w:color w:val="000000"/>
                <w:kern w:val="28"/>
                <w:sz w:val="20"/>
              </w:rPr>
              <w:t>Gimimo data (metai, mėnuo, diena)</w:t>
            </w:r>
          </w:p>
        </w:tc>
      </w:tr>
      <w:tr>
        <w:trPr>
          <w:trHeight w:val="345"/>
        </w:trPr>
        <w:tc>
          <w:tcPr>
            <w:tcW w:w="7062" w:type="dxa"/>
          </w:tcPr>
          <w:p>
            <w:pPr>
              <w:rPr>
                <w:b/>
                <w:i/>
                <w:color w:val="000000"/>
                <w:kern w:val="28"/>
                <w:sz w:val="20"/>
              </w:rPr>
            </w:pPr>
          </w:p>
          <w:p>
            <w:pPr>
              <w:rPr>
                <w:b/>
                <w:i/>
                <w:color w:val="000000"/>
                <w:kern w:val="28"/>
                <w:sz w:val="20"/>
              </w:rPr>
            </w:pPr>
            <w:r>
              <w:rPr>
                <w:b/>
                <w:i/>
                <w:color w:val="000000"/>
                <w:kern w:val="28"/>
                <w:sz w:val="20"/>
              </w:rPr>
              <w:t>Asmens kodas</w:t>
            </w:r>
          </w:p>
        </w:tc>
      </w:tr>
      <w:tr>
        <w:tc>
          <w:tcPr>
            <w:tcW w:w="7062" w:type="dxa"/>
          </w:tcPr>
          <w:p>
            <w:pPr>
              <w:outlineLvl w:val="1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F29A877" wp14:editId="7C30DA48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127000</wp:posOffset>
                      </wp:positionV>
                      <wp:extent cx="182880" cy="182880"/>
                      <wp:effectExtent l="12700" t="12700" r="1397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2.75pt;margin-top:10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odoqHAIAADsEAAAOAAAAZHJzL2Uyb0RvYy54bWysU1GP0zAMfkfiP0R5Z13LBrtq3em0Ywjp gBMHP8BL0zYiTYKTrRu//px0N3bAE6IPkV07Xz5/tpfXh16zvUSvrKl4PplyJo2wtTJtxb993bxa cOYDmBq0NbLiR+n59erli+XgSlnYzupaIiMQ48vBVbwLwZVZ5kUne/AT66ShYGOxh0AutlmNMBB6 r7NiOn2TDRZrh1ZI7+nv7Rjkq4TfNFKEz03jZWC64sQtpBPTuY1ntlpC2SK4TokTDfgHFj0oQ4+e oW4hANuh+gOqVwKtt02YCNtntmmUkKkGqiaf/lbNQwdOplpIHO/OMvn/Bys+7e+RqbriBWcGemrR FxINTKslex3lGZwvKevB3WMs0Ls7K757Zuy6oyx5g2iHTkJNpPKYnz27EB1PV9l2+GhrQoddsEmp Q4N9BCQN2CE15HhuiDwEJuhnvigWC2qboNDJji9A+XTZoQ/vpe1ZNCqORD2Bw/7OhzH1KSWRt1rV G6V1crDdrjWyPdBsbNKX+FONl2nasKHiV/NinpCfxfwlxDR9f4PoVaAh16qv+OKcBGVU7Z2piSaU AZQebapOm5OMUbmxA1tbH0lFtOME08aR0Vn8ydlA01tx/2MHKDnTHwx14iqfzeK4J2c2f1uQg5eR 7WUEjCCoigfORnMdxhXZOVRtRy/lqXZjb6h7jUrKxs6OrE5kaUJTb07bFFfg0k9Zv3Z+9QgAAP// AwBQSwMEFAAGAAgAAAAhADYE+JLeAAAACQEAAA8AAABkcnMvZG93bnJldi54bWxMj01Pg0AQhu8m /ofNmHizSz9oEBkao6mJx5ZevC0wAsrOEnZp0V/veNLj5H3yvs9ku9n26kyj7xwjLBcRKOLK1R03 CKdif5eA8sFwbXrHhPBFHnb59VVm0tpd+EDnY2iUlLBPDUIbwpBq7auWrPELNxBL9u5Ga4KcY6Pr 0Vyk3PZ6FUVbbU3HstCagZ5aqj6Pk0Uou9XJfB+Kl8je79fhdS4+prdnxNub+fEBVKA5/MHwqy/q kItT6SauveoR4iSOBUWQGVACbJebNagSYZMkoPNM//8g/wEAAP//AwBQSwECLQAUAAYACAAAACEA toM4kv4AAADhAQAAEwAAAAAAAAAAAAAAAAAAAAAAW0NvbnRlbnRfVHlwZXNdLnhtbFBLAQItABQA BgAIAAAAIQA4/SH/1gAAAJQBAAALAAAAAAAAAAAAAAAAAC8BAABfcmVscy8ucmVsc1BLAQItABQA BgAIAAAAIQBxodoqHAIAADsEAAAOAAAAAAAAAAAAAAAAAC4CAABkcnMvZTJvRG9jLnhtbFBLAQIt ABQABgAIAAAAIQA2BPiS3gAAAAkBAAAPAAAAAAAAAAAAAAAAAHYEAABkcnMvZG93bnJldi54bWxQ SwUGAAAAAAQABADzAAAAgQUAAAAA " o:allowincell="f"/>
                  </w:pict>
                </mc:Fallback>
              </mc:AlternateContent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9330280" wp14:editId="34F3DC9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111760</wp:posOffset>
                      </wp:positionV>
                      <wp:extent cx="182880" cy="182880"/>
                      <wp:effectExtent l="12700" t="6985" r="1397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2.25pt;margin-top:8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wtptGwIAADsEAAAOAAAAZHJzL2Uyb0RvYy54bWysU1GP0zAMfkfiP0R5Z12rDXbVutNpxxDS AScOfkCWpmtEEgcnW3f8epx0N3bAE6IPkV07X+zvs5fXR2vYQWHQ4BpeTqacKSeh1W7X8K9fNq8W nIUoXCsMONXwRxX49erli+Xga1VBD6ZVyAjEhXrwDe9j9HVRBNkrK8IEvHIU7ACtiOTirmhRDIRu TVFNp6+LAbD1CFKFQH9vxyBfZfyuUzJ+6rqgIjMNp9piPjGf23QWq6Wodyh8r+WpDPEPVVihHT16 hroVUbA96j+grJYIAbo4kWAL6DotVe6Buimnv3Xz0Auvci9ETvBnmsL/g5UfD/fIdEvaceaEJYk+ E2nC7YxiVaJn8KGmrAd/j6nB4O9AfgvMwbqnLHWDCEOvREtFlSm/eHYhOYGusu3wAVpCF/sImalj hzYBEgfsmAV5PAuijpFJ+lkuqsWCZJMUOtnpBVE/XfYY4jsFliWj4UilZ3BxuAtxTH1KycWD0e1G G5Md3G3XBtlB0Gxs8pfrpx4v04xjQ8Ov5tU8Iz+LhUuIaf7+BmF1pCE32jZ8cU4SdWLtrWupTFFH oc1oU3fGnWhMzI0KbKF9JBYRxgmmjSOjB/zB2UDT2/DwfS9QcWbeO1LiqpzN0rhnZzZ/U5GDl5Ht ZUQ4SVANj5yN5jqOK7L3qHc9vVTm3h3ckHqdzswmZceqTsXShGZtTtuUVuDSz1m/dn71EwAA//8D AFBLAwQUAAYACAAAACEAYuHqqN4AAAAJAQAADwAAAGRycy9kb3ducmV2LnhtbEyPwU6DQBCG7ya+ w2ZMvNmlBbFFlsZoauKxpRdvA7sFlJ0l7NKiT+940ttM/i//fJNvZ9uLsxl950jBchGBMFQ73VGj 4Fju7tYgfEDS2DsyCr6Mh21xfZVjpt2F9uZ8CI3gEvIZKmhDGDIpfd0ai37hBkOcndxoMfA6NlKP eOFy28tVFKXSYkd8ocXBPLem/jxMVkHVrY74vS9fI7vZxeFtLj+m9xelbm/mp0cQwczhD4ZffVaH gp0qN5H2olcQr5N7Rjl4SEEwkCzjGETFQ5qALHL5/4PiBwAA//8DAFBLAQItABQABgAIAAAAIQC2 gziS/gAAAOEBAAATAAAAAAAAAAAAAAAAAAAAAABbQ29udGVudF9UeXBlc10ueG1sUEsBAi0AFAAG AAgAAAAhADj9If/WAAAAlAEAAAsAAAAAAAAAAAAAAAAALwEAAF9yZWxzLy5yZWxzUEsBAi0AFAAG AAgAAAAhAD7C2m0bAgAAOwQAAA4AAAAAAAAAAAAAAAAALgIAAGRycy9lMm9Eb2MueG1sUEsBAi0A FAAGAAgAAAAhAGLh6qjeAAAACQEAAA8AAAAAAAAAAAAAAAAAdQQAAGRycy9kb3ducmV2LnhtbFBL BQYAAAAABAAEAPMAAACABQAAAAA= " o:allowincell="f"/>
                  </w:pict>
                </mc:Fallback>
              </mc:AlternateContent>
            </w:r>
          </w:p>
          <w:p>
            <w:pPr>
              <w:tabs>
                <w:tab w:val="left" w:pos="3192"/>
                <w:tab w:val="left" w:pos="5244"/>
              </w:tabs>
              <w:outlineLvl w:val="1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Lytis </w:t>
              <w:tab/>
              <w:t xml:space="preserve">Mot. </w:t>
              <w:tab/>
              <w:t xml:space="preserve">Vyr. </w:t>
            </w:r>
          </w:p>
        </w:tc>
      </w:tr>
      <w:tr>
        <w:tc>
          <w:tcPr>
            <w:tcW w:w="7062" w:type="dxa"/>
          </w:tcPr>
          <w:p>
            <w:pPr>
              <w:rPr>
                <w:b/>
                <w:i/>
                <w:color w:val="000000"/>
                <w:kern w:val="28"/>
                <w:sz w:val="20"/>
              </w:rPr>
            </w:pPr>
          </w:p>
          <w:p>
            <w:pPr>
              <w:rPr>
                <w:b/>
                <w:i/>
                <w:color w:val="000000"/>
                <w:kern w:val="28"/>
                <w:sz w:val="20"/>
              </w:rPr>
            </w:pPr>
            <w:r>
              <w:rPr>
                <w:b/>
                <w:i/>
                <w:color w:val="000000"/>
                <w:kern w:val="28"/>
                <w:sz w:val="20"/>
              </w:rPr>
              <w:t>Profesija</w:t>
            </w:r>
          </w:p>
        </w:tc>
      </w:tr>
    </w:tbl>
    <w:p>
      <w:pPr>
        <w:ind w:firstLine="709"/>
        <w:rPr>
          <w:b/>
          <w:i/>
          <w:color w:val="000000"/>
        </w:rPr>
        <w:sectPr>
          <w:pgSz w:w="16839" w:h="11907" w:orient="landscape"/>
          <w:pgMar w:top="1134" w:right="567" w:bottom="1134" w:left="1701" w:header="567" w:footer="567" w:gutter="0"/>
          <w:cols w:num="2" w:space="651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ind w:firstLine="709"/>
        <w:rPr>
          <w:color w:val="000000"/>
        </w:rPr>
      </w:pPr>
    </w:p>
    <w:p>
      <w:pPr>
        <w:keepNext/>
        <w:ind w:firstLine="709"/>
        <w:rPr>
          <w:b/>
          <w:color w:val="000000"/>
          <w:kern w:val="28"/>
        </w:rPr>
        <w:sectPr>
          <w:type w:val="continuous"/>
          <w:pgSz w:w="16839" w:h="11907" w:orient="landscape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rPr>
          <w:b/>
          <w:color w:val="000000"/>
          <w:kern w:val="28"/>
        </w:rPr>
        <w:br w:type="page"/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Duomenys apie darbuotojo gautas profesinės apšvitos dozes (mSv)</w:t>
      </w:r>
    </w:p>
    <w:p>
      <w:pPr>
        <w:ind w:firstLine="709"/>
        <w:rPr>
          <w:color w:val="000000"/>
        </w:rPr>
      </w:pPr>
    </w:p>
    <w:tbl>
      <w:tblPr>
        <w:tblW w:w="7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1"/>
        <w:gridCol w:w="816"/>
        <w:gridCol w:w="683"/>
        <w:gridCol w:w="683"/>
        <w:gridCol w:w="816"/>
        <w:gridCol w:w="817"/>
        <w:gridCol w:w="816"/>
        <w:gridCol w:w="1124"/>
      </w:tblGrid>
      <w:tr>
        <w:trPr>
          <w:cantSplit/>
        </w:trPr>
        <w:tc>
          <w:tcPr>
            <w:tcW w:w="683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Metai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  <w:r>
              <w:rPr>
                <w:color w:val="000000"/>
                <w:sz w:val="20"/>
                <w:vertAlign w:val="subscript"/>
              </w:rPr>
              <w:t>p</w:t>
            </w:r>
            <w:r>
              <w:rPr>
                <w:color w:val="000000"/>
                <w:sz w:val="20"/>
              </w:rPr>
              <w:t>(10) viso kūno</w:t>
            </w:r>
          </w:p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Hp(0,07)odos ir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galūnių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Hp(3) akių lęšiukų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Hp(n) dėl neutro-nų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H(50),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kaupia-moji efektinė dozė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E, bendroji metinė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dozė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83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24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tbl>
      <w:tblPr>
        <w:tblW w:w="7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"/>
        <w:gridCol w:w="800"/>
        <w:gridCol w:w="671"/>
        <w:gridCol w:w="671"/>
        <w:gridCol w:w="800"/>
        <w:gridCol w:w="801"/>
        <w:gridCol w:w="800"/>
        <w:gridCol w:w="1105"/>
      </w:tblGrid>
      <w:tr>
        <w:trPr>
          <w:cantSplit/>
        </w:trPr>
        <w:tc>
          <w:tcPr>
            <w:tcW w:w="800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Metai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  <w:r>
              <w:rPr>
                <w:color w:val="000000"/>
                <w:sz w:val="20"/>
                <w:vertAlign w:val="subscript"/>
              </w:rPr>
              <w:t>p</w:t>
            </w:r>
            <w:r>
              <w:rPr>
                <w:color w:val="000000"/>
                <w:sz w:val="20"/>
              </w:rPr>
              <w:t>(10) viso kūno</w:t>
            </w:r>
          </w:p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Hp(0,07)odos ir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galūnių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Hp(3) akių lęšiukų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Hp(n) dėl neutro-nų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H(50),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kaupia- moji efektinė dozė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E, bendroji metinė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dozė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1" w:type="dxa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05" w:type="dxa"/>
          </w:tcPr>
          <w:p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>
      <w:pPr>
        <w:ind w:firstLine="709"/>
        <w:rPr>
          <w:color w:val="000000"/>
        </w:rPr>
        <w:sectPr>
          <w:type w:val="continuous"/>
          <w:pgSz w:w="16839" w:h="11907" w:orient="landscape"/>
          <w:pgMar w:top="1134" w:right="567" w:bottom="1134" w:left="1701" w:header="567" w:footer="567" w:gutter="0"/>
          <w:cols w:num="2" w:space="531"/>
          <w:titlePg/>
          <w:docGrid w:linePitch="360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ind w:firstLine="709"/>
        <w:rPr>
          <w:color w:val="000000"/>
        </w:rPr>
      </w:pPr>
    </w:p>
    <w:p>
      <w:pPr>
        <w:ind w:firstLine="709"/>
        <w:sectPr>
          <w:type w:val="continuous"/>
          <w:pgSz w:w="16839" w:h="11907" w:orient="landscape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br w:type="page"/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ind w:firstLine="709"/>
      </w:pPr>
      <w:r>
        <w:t>Duomenys apie darbovietę</w:t>
      </w:r>
    </w:p>
    <w:p>
      <w:pPr>
        <w:ind w:firstLine="709"/>
        <w:rPr>
          <w:color w:val="000000"/>
        </w:rPr>
      </w:pP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</w:tblGrid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64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(data)</w:t>
              <w:tab/>
              <w:t xml:space="preserve"> (data)</w:t>
            </w:r>
          </w:p>
        </w:tc>
      </w:tr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714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(data)</w:t>
              <w:tab/>
              <w:t xml:space="preserve"> (data)</w:t>
            </w:r>
          </w:p>
        </w:tc>
      </w:tr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714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(data) </w:t>
              <w:tab/>
              <w:t>(data)</w:t>
            </w:r>
          </w:p>
        </w:tc>
      </w:tr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714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(data) </w:t>
              <w:tab/>
              <w:t>(data)</w:t>
            </w:r>
          </w:p>
        </w:tc>
      </w:tr>
    </w:tbl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</w:tblGrid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(data) </w:t>
              <w:tab/>
              <w:t>(data)</w:t>
            </w:r>
          </w:p>
        </w:tc>
      </w:tr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(data) </w:t>
              <w:tab/>
              <w:t>(data)</w:t>
            </w:r>
          </w:p>
        </w:tc>
      </w:tr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(data) </w:t>
              <w:tab/>
              <w:t>(data)</w:t>
            </w:r>
          </w:p>
        </w:tc>
      </w:tr>
      <w:tr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Darbovietės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Darbdavio v., pavardė,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Licencijos Nr.</w:t>
            </w:r>
          </w:p>
        </w:tc>
        <w:tc>
          <w:tcPr>
            <w:tcW w:w="3510" w:type="dxa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pobūdis (pareigybė)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Darbo, susijusio su jonizuojančiosios spinduliuotės apšvita, 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pradžia: pabaiga: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tabs>
                <w:tab w:val="left" w:pos="162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(data) </w:t>
              <w:tab/>
              <w:t>(data)</w:t>
            </w:r>
          </w:p>
        </w:tc>
      </w:tr>
    </w:tbl>
    <w:p>
      <w:pPr>
        <w:ind w:firstLine="709"/>
        <w:rPr>
          <w:color w:val="000000"/>
        </w:rPr>
      </w:pPr>
    </w:p>
    <w:p/>
    <w:sectPr>
      <w:type w:val="continuous"/>
      <w:pgSz w:w="16839" w:h="11907" w:orient="landscape"/>
      <w:pgMar w:top="1134" w:right="567" w:bottom="1134" w:left="1701" w:header="567" w:footer="567" w:gutter="0"/>
      <w:cols w:num="2" w:space="609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4081</Characters>
  <Application>Microsoft Office Word</Application>
  <DocSecurity>4</DocSecurity>
  <Lines>816</Lines>
  <Paragraphs>186</Paragraphs>
  <ScaleCrop>false</ScaleCrop>
  <Company/>
  <LinksUpToDate>false</LinksUpToDate>
  <CharactersWithSpaces>4469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2015-10-04T01:04:00Z</dcterms:created>
  <dc:creator>Tadeuš Buivid</dc:creator>
  <lastModifiedBy>Adlib User</lastModifiedBy>
  <dcterms:modified xsi:type="dcterms:W3CDTF">2015-10-04T01:04:00Z</dcterms:modified>
  <revision>2</revision>
</coreProperties>
</file>