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B73B" w14:textId="77777777" w:rsidR="005F1727" w:rsidRDefault="005F1727">
      <w:pPr>
        <w:tabs>
          <w:tab w:val="center" w:pos="4153"/>
          <w:tab w:val="right" w:pos="8306"/>
        </w:tabs>
        <w:rPr>
          <w:lang w:val="en-GB"/>
        </w:rPr>
      </w:pPr>
    </w:p>
    <w:p w14:paraId="6076B73C" w14:textId="77777777" w:rsidR="005F1727" w:rsidRDefault="005E617E">
      <w:pPr>
        <w:jc w:val="center"/>
        <w:rPr>
          <w:b/>
        </w:rPr>
      </w:pPr>
      <w:r>
        <w:rPr>
          <w:b/>
          <w:lang w:eastAsia="lt-LT"/>
        </w:rPr>
        <w:pict w14:anchorId="6076B76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6076B73D" w14:textId="77777777" w:rsidR="005F1727" w:rsidRDefault="005F1727">
      <w:pPr>
        <w:jc w:val="center"/>
      </w:pPr>
    </w:p>
    <w:p w14:paraId="6076B73E" w14:textId="77777777" w:rsidR="005F1727" w:rsidRDefault="005E617E">
      <w:pPr>
        <w:jc w:val="center"/>
        <w:rPr>
          <w:b/>
        </w:rPr>
      </w:pPr>
      <w:r>
        <w:rPr>
          <w:b/>
        </w:rPr>
        <w:t>N U T A R I M A S</w:t>
      </w:r>
    </w:p>
    <w:p w14:paraId="6076B73F" w14:textId="77777777" w:rsidR="005F1727" w:rsidRDefault="005E617E">
      <w:pPr>
        <w:jc w:val="center"/>
        <w:rPr>
          <w:b/>
        </w:rPr>
      </w:pPr>
      <w:r>
        <w:rPr>
          <w:b/>
        </w:rPr>
        <w:t>DĖL LIETUVOS RESPUBLIKOS VYRIAUSYBĖS 1994 M. LAPKRIČIO 16 D. NUTARIMO NR. 1135 „DĖL LIETUVOS RESPUBLIKOS KONSULINIO MOKESČIO TARIFŲ IR LIETUVOS RESPUBLIKOS KONSULINIO MOK</w:t>
      </w:r>
      <w:r>
        <w:rPr>
          <w:b/>
        </w:rPr>
        <w:t>ESČIO MOKĖJIMO BEI GRĄŽINIMO TVARKOS PATVIRTINIMO“ DALINIO PAKEITIMO</w:t>
      </w:r>
    </w:p>
    <w:p w14:paraId="6076B740" w14:textId="77777777" w:rsidR="005F1727" w:rsidRDefault="005F1727">
      <w:pPr>
        <w:jc w:val="center"/>
      </w:pPr>
    </w:p>
    <w:p w14:paraId="6076B741" w14:textId="77777777" w:rsidR="005F1727" w:rsidRDefault="005E617E">
      <w:pPr>
        <w:jc w:val="center"/>
      </w:pPr>
      <w:r>
        <w:t>2002 m. sausio 31 d. Nr. 151</w:t>
      </w:r>
    </w:p>
    <w:p w14:paraId="6076B742" w14:textId="77777777" w:rsidR="005F1727" w:rsidRDefault="005E617E">
      <w:pPr>
        <w:jc w:val="center"/>
      </w:pPr>
      <w:r>
        <w:t>Vilnius</w:t>
      </w:r>
    </w:p>
    <w:p w14:paraId="6076B743" w14:textId="77777777" w:rsidR="005F1727" w:rsidRDefault="005F1727">
      <w:pPr>
        <w:jc w:val="center"/>
      </w:pPr>
    </w:p>
    <w:p w14:paraId="6076B744" w14:textId="77777777" w:rsidR="005F1727" w:rsidRDefault="005E617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076B745" w14:textId="77777777" w:rsidR="005F1727" w:rsidRDefault="005E617E">
      <w:pPr>
        <w:ind w:firstLine="708"/>
        <w:jc w:val="both"/>
        <w:rPr>
          <w:color w:val="000000"/>
        </w:rPr>
      </w:pPr>
      <w:r>
        <w:rPr>
          <w:color w:val="000000"/>
        </w:rPr>
        <w:t>Iš dalies pakeisti Lietuvos Respublikos Vyriausybės 1994 m. lapkričio 16 d. nutarimu Nr. 1135 „Dėl Lietuv</w:t>
      </w:r>
      <w:r>
        <w:rPr>
          <w:color w:val="000000"/>
        </w:rPr>
        <w:t xml:space="preserve">os Respublikos konsulinio mokesčio tarifų ir Lietuvos Respublikos konsulinio mokesčio mokėjimo bei grąžinimo tvarkos patvirtinimo“ (Žin., 1994, Nr. </w:t>
      </w:r>
      <w:hyperlink r:id="rId10" w:tgtFrame="_blank" w:history="1">
        <w:r>
          <w:rPr>
            <w:color w:val="0000FF" w:themeColor="hyperlink"/>
            <w:u w:val="single"/>
          </w:rPr>
          <w:t>90-1751</w:t>
        </w:r>
      </w:hyperlink>
      <w:r>
        <w:rPr>
          <w:color w:val="000000"/>
        </w:rPr>
        <w:t xml:space="preserve">; 1996, Nr. </w:t>
      </w:r>
      <w:hyperlink r:id="rId11" w:tgtFrame="_blank" w:history="1">
        <w:r>
          <w:rPr>
            <w:color w:val="0000FF" w:themeColor="hyperlink"/>
            <w:u w:val="single"/>
          </w:rPr>
          <w:t>44-1084</w:t>
        </w:r>
      </w:hyperlink>
      <w:r>
        <w:rPr>
          <w:color w:val="000000"/>
        </w:rPr>
        <w:t xml:space="preserve">; 1997, Nr. </w:t>
      </w:r>
      <w:hyperlink r:id="rId12" w:tgtFrame="_blank" w:history="1">
        <w:r>
          <w:rPr>
            <w:color w:val="0000FF" w:themeColor="hyperlink"/>
            <w:u w:val="single"/>
          </w:rPr>
          <w:t>69-1751</w:t>
        </w:r>
      </w:hyperlink>
      <w:r>
        <w:rPr>
          <w:color w:val="000000"/>
        </w:rPr>
        <w:t xml:space="preserve">; 2000, Nr. </w:t>
      </w:r>
      <w:hyperlink r:id="rId13" w:tgtFrame="_blank" w:history="1">
        <w:r>
          <w:rPr>
            <w:color w:val="0000FF" w:themeColor="hyperlink"/>
            <w:u w:val="single"/>
          </w:rPr>
          <w:t>109-3480</w:t>
        </w:r>
      </w:hyperlink>
      <w:r>
        <w:rPr>
          <w:color w:val="000000"/>
        </w:rPr>
        <w:t>) patvirtintus Lietuvos Respublikos konsulinio mokesčio tarifus:</w:t>
      </w:r>
    </w:p>
    <w:p w14:paraId="6076B746" w14:textId="4E3E3AF8" w:rsidR="005F1727" w:rsidRDefault="005E617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3.1 punktą taip:</w:t>
      </w:r>
    </w:p>
    <w:bookmarkStart w:id="0" w:name="_GoBack" w:displacedByCustomXml="next"/>
    <w:p w14:paraId="6076B747" w14:textId="05F0BCDE" w:rsidR="005F1727" w:rsidRDefault="005E617E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3.1</w:t>
      </w:r>
      <w:r>
        <w:rPr>
          <w:color w:val="000000"/>
        </w:rPr>
        <w:t>. už vizų išdavimą:</w:t>
      </w:r>
    </w:p>
    <w:p w14:paraId="0D710C06" w14:textId="77777777" w:rsidR="005E617E" w:rsidRDefault="005E617E" w:rsidP="005E617E">
      <w:pPr>
        <w:tabs>
          <w:tab w:val="left" w:pos="7371"/>
        </w:tabs>
        <w:ind w:left="426"/>
        <w:rPr>
          <w:color w:val="000000"/>
        </w:rPr>
      </w:pPr>
      <w:r>
        <w:rPr>
          <w:color w:val="000000"/>
        </w:rPr>
        <w:t xml:space="preserve">paprastosios vizos </w:t>
      </w:r>
      <w:r>
        <w:rPr>
          <w:color w:val="000000"/>
        </w:rPr>
        <w:tab/>
        <w:t>10 JAV dolerių</w:t>
      </w:r>
    </w:p>
    <w:p w14:paraId="44E6E9AB" w14:textId="77777777" w:rsidR="005E617E" w:rsidRDefault="005E617E" w:rsidP="005E617E">
      <w:pPr>
        <w:tabs>
          <w:tab w:val="left" w:pos="7371"/>
        </w:tabs>
        <w:ind w:left="426"/>
        <w:rPr>
          <w:color w:val="000000"/>
        </w:rPr>
      </w:pPr>
      <w:r>
        <w:rPr>
          <w:color w:val="000000"/>
        </w:rPr>
        <w:t xml:space="preserve">specialiosios vizos </w:t>
      </w:r>
      <w:r>
        <w:rPr>
          <w:color w:val="000000"/>
        </w:rPr>
        <w:tab/>
        <w:t>50 JAV dolerių</w:t>
      </w:r>
    </w:p>
    <w:p w14:paraId="699F1465" w14:textId="77777777" w:rsidR="005E617E" w:rsidRDefault="005E617E" w:rsidP="005E617E">
      <w:pPr>
        <w:tabs>
          <w:tab w:val="left" w:pos="7371"/>
        </w:tabs>
        <w:ind w:left="426"/>
        <w:rPr>
          <w:color w:val="000000"/>
        </w:rPr>
      </w:pPr>
      <w:r>
        <w:rPr>
          <w:color w:val="000000"/>
        </w:rPr>
        <w:t xml:space="preserve">tranzitinės vizos </w:t>
      </w:r>
      <w:r>
        <w:rPr>
          <w:color w:val="000000"/>
        </w:rPr>
        <w:tab/>
        <w:t>5 JAV doleriai</w:t>
      </w:r>
    </w:p>
    <w:p w14:paraId="16DE4747" w14:textId="77777777" w:rsidR="005E617E" w:rsidRDefault="005E617E" w:rsidP="005E617E">
      <w:pPr>
        <w:tabs>
          <w:tab w:val="left" w:pos="7371"/>
        </w:tabs>
        <w:ind w:left="426"/>
        <w:rPr>
          <w:color w:val="000000"/>
        </w:rPr>
      </w:pPr>
      <w:r>
        <w:rPr>
          <w:color w:val="000000"/>
        </w:rPr>
        <w:t xml:space="preserve">oro uosto tranzitinės vizos </w:t>
      </w:r>
      <w:r>
        <w:rPr>
          <w:color w:val="000000"/>
        </w:rPr>
        <w:tab/>
        <w:t>5 JAV doleriai</w:t>
      </w:r>
    </w:p>
    <w:p w14:paraId="68612770" w14:textId="77777777" w:rsidR="005E617E" w:rsidRDefault="005E617E" w:rsidP="005E617E">
      <w:pPr>
        <w:tabs>
          <w:tab w:val="left" w:pos="7371"/>
        </w:tabs>
        <w:ind w:left="426"/>
        <w:rPr>
          <w:color w:val="000000"/>
        </w:rPr>
      </w:pPr>
      <w:r>
        <w:rPr>
          <w:color w:val="000000"/>
        </w:rPr>
        <w:t xml:space="preserve">grupinės vizos </w:t>
      </w:r>
      <w:r>
        <w:rPr>
          <w:color w:val="000000"/>
        </w:rPr>
        <w:tab/>
        <w:t>po 7 JAV dolerius už asmenį</w:t>
      </w:r>
    </w:p>
    <w:p w14:paraId="7232D9D0" w14:textId="7CAF6E94" w:rsidR="005E617E" w:rsidRDefault="005E617E" w:rsidP="005E617E">
      <w:pPr>
        <w:tabs>
          <w:tab w:val="left" w:pos="7371"/>
        </w:tabs>
        <w:ind w:left="426"/>
        <w:rPr>
          <w:color w:val="000000"/>
        </w:rPr>
      </w:pPr>
      <w:r>
        <w:rPr>
          <w:color w:val="000000"/>
        </w:rPr>
        <w:t xml:space="preserve">grupinės tranzitinės vizos </w:t>
      </w:r>
      <w:r>
        <w:rPr>
          <w:color w:val="000000"/>
        </w:rPr>
        <w:tab/>
        <w:t>po 5 JAV dolerius už asmenį“.</w:t>
      </w:r>
    </w:p>
    <w:bookmarkEnd w:id="0" w:displacedByCustomXml="next"/>
    <w:p w14:paraId="6076B75A" w14:textId="50FD8D8D" w:rsidR="005F1727" w:rsidRDefault="005E617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3.1 punkto 1 pastabą taip:</w:t>
      </w:r>
    </w:p>
    <w:p w14:paraId="6076B75D" w14:textId="0A9606A9" w:rsidR="005F1727" w:rsidRDefault="005E617E" w:rsidP="005E617E">
      <w:pPr>
        <w:ind w:firstLine="708"/>
        <w:jc w:val="both"/>
      </w:pPr>
      <w:r>
        <w:rPr>
          <w:color w:val="000000"/>
        </w:rPr>
        <w:t>„1. Jeigu viza (įskaitant grupinę) yra dvikartinė tranzitinė, d</w:t>
      </w:r>
      <w:r>
        <w:rPr>
          <w:color w:val="000000"/>
        </w:rPr>
        <w:t>vikartinė oro uosto tranzitinė arba daugkartinė, konsulinis mokestis už jos išdavimą kiekvienam asmeniui didinamas 10 JAV dolerių“.</w:t>
      </w:r>
    </w:p>
    <w:p w14:paraId="15A7FA32" w14:textId="77777777" w:rsidR="005E617E" w:rsidRDefault="005E617E">
      <w:pPr>
        <w:tabs>
          <w:tab w:val="right" w:pos="9639"/>
        </w:tabs>
      </w:pPr>
    </w:p>
    <w:p w14:paraId="68361313" w14:textId="77777777" w:rsidR="005E617E" w:rsidRDefault="005E617E">
      <w:pPr>
        <w:tabs>
          <w:tab w:val="right" w:pos="9639"/>
        </w:tabs>
      </w:pPr>
    </w:p>
    <w:p w14:paraId="7D86A19B" w14:textId="77777777" w:rsidR="005E617E" w:rsidRDefault="005E617E">
      <w:pPr>
        <w:tabs>
          <w:tab w:val="right" w:pos="9639"/>
        </w:tabs>
      </w:pPr>
    </w:p>
    <w:p w14:paraId="6076B75E" w14:textId="77777777" w:rsidR="005F1727" w:rsidRDefault="005E617E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6076B75F" w14:textId="77777777" w:rsidR="005F1727" w:rsidRDefault="005F1727">
      <w:pPr>
        <w:ind w:firstLine="708"/>
      </w:pPr>
    </w:p>
    <w:p w14:paraId="30F2B21E" w14:textId="77777777" w:rsidR="005E617E" w:rsidRDefault="005E617E">
      <w:pPr>
        <w:ind w:firstLine="708"/>
      </w:pPr>
    </w:p>
    <w:p w14:paraId="69A7F7A5" w14:textId="77777777" w:rsidR="005E617E" w:rsidRDefault="005E617E">
      <w:pPr>
        <w:ind w:firstLine="708"/>
      </w:pPr>
    </w:p>
    <w:p w14:paraId="6076B760" w14:textId="77777777" w:rsidR="005F1727" w:rsidRDefault="005E617E">
      <w:pPr>
        <w:tabs>
          <w:tab w:val="right" w:pos="9639"/>
        </w:tabs>
      </w:pPr>
      <w:r>
        <w:t>UŽSIENIO REIKALŲ MINISTRAS</w:t>
      </w:r>
      <w:r>
        <w:tab/>
        <w:t>ANTANAS VALIONIS</w:t>
      </w:r>
    </w:p>
    <w:p w14:paraId="6076B768" w14:textId="77777777" w:rsidR="005F1727" w:rsidRDefault="005E617E">
      <w:pPr>
        <w:ind w:firstLine="708"/>
      </w:pPr>
    </w:p>
    <w:sectPr w:rsidR="005F17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B76C" w14:textId="77777777" w:rsidR="005F1727" w:rsidRDefault="005E617E">
      <w:r>
        <w:separator/>
      </w:r>
    </w:p>
  </w:endnote>
  <w:endnote w:type="continuationSeparator" w:id="0">
    <w:p w14:paraId="6076B76D" w14:textId="77777777" w:rsidR="005F1727" w:rsidRDefault="005E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B772" w14:textId="77777777" w:rsidR="005F1727" w:rsidRDefault="005F172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B773" w14:textId="77777777" w:rsidR="005F1727" w:rsidRDefault="005F172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B775" w14:textId="77777777" w:rsidR="005F1727" w:rsidRDefault="005F172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6B76A" w14:textId="77777777" w:rsidR="005F1727" w:rsidRDefault="005E617E">
      <w:r>
        <w:separator/>
      </w:r>
    </w:p>
  </w:footnote>
  <w:footnote w:type="continuationSeparator" w:id="0">
    <w:p w14:paraId="6076B76B" w14:textId="77777777" w:rsidR="005F1727" w:rsidRDefault="005E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B76E" w14:textId="77777777" w:rsidR="005F1727" w:rsidRDefault="005E617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076B76F" w14:textId="77777777" w:rsidR="005F1727" w:rsidRDefault="005F172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B770" w14:textId="77777777" w:rsidR="005F1727" w:rsidRDefault="005E617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6076B771" w14:textId="77777777" w:rsidR="005F1727" w:rsidRDefault="005F172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B774" w14:textId="77777777" w:rsidR="005F1727" w:rsidRDefault="005F172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ED"/>
    <w:rsid w:val="005E617E"/>
    <w:rsid w:val="005F1727"/>
    <w:rsid w:val="007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76B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61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6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D24C5B1E90F"/>
  <Relationship Id="rId11" Type="http://schemas.openxmlformats.org/officeDocument/2006/relationships/hyperlink" TargetMode="External" Target="https://www.e-tar.lt/portal/lt/legalAct/TAR.5CD86ED5721F"/>
  <Relationship Id="rId12" Type="http://schemas.openxmlformats.org/officeDocument/2006/relationships/hyperlink" TargetMode="External" Target="https://www.e-tar.lt/portal/lt/legalAct/TAR.D705D555B607"/>
  <Relationship Id="rId13" Type="http://schemas.openxmlformats.org/officeDocument/2006/relationships/hyperlink" TargetMode="External" Target="https://www.e-tar.lt/portal/lt/legalAct/TAR.5992399E5D4A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CA"/>
    <w:rsid w:val="000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16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16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2015-06-29T18:50:00Z</dcterms:created>
  <dc:creator>Tadeuš Buivid</dc:creator>
  <lastModifiedBy>BODIN Aušra</lastModifiedBy>
  <dcterms:modified xsi:type="dcterms:W3CDTF">2016-12-16T09:13:00Z</dcterms:modified>
  <revision>3</revision>
</coreProperties>
</file>