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ĮSTATYMO 14, 19 STRAIPSNIŲ PAKEITIMO IR PAPILDYMO</w:t>
      </w:r>
    </w:p>
    <w:p>
      <w:pPr>
        <w:jc w:val="center"/>
        <w:rPr>
          <w:b/>
        </w:rPr>
      </w:pPr>
      <w:r>
        <w:rPr>
          <w:b/>
        </w:rPr>
        <w:t>Į S T A T Y M A S</w:t>
      </w:r>
    </w:p>
    <w:p>
      <w:pPr>
        <w:jc w:val="center"/>
      </w:pPr>
    </w:p>
    <w:p>
      <w:pPr>
        <w:jc w:val="center"/>
      </w:pPr>
      <w:r>
        <w:t>2005 m. liepos 5 d. Nr. X-326</w:t>
      </w:r>
    </w:p>
    <w:p>
      <w:pPr>
        <w:jc w:val="center"/>
      </w:pPr>
      <w:r>
        <w:t>Vilnius</w:t>
      </w:r>
    </w:p>
    <w:p>
      <w:pPr>
        <w:jc w:val="center"/>
      </w:pPr>
    </w:p>
    <w:p>
      <w:pPr>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2004, Nr. </w:t>
      </w:r>
      <w:fldSimple w:instr="HYPERLINK https://www.e-tar.lt/portal/lt/legalAct/TAR.7ED447C0D254 \t _blank">
        <w:r>
          <w:rPr>
            <w:color w:val="0000FF" w:themeColor="hyperlink"/>
            <w:u w:val="single"/>
          </w:rPr>
          <w:t>28-868</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14 straipsnio papildymas 3 dalimi</w:t>
      </w:r>
    </w:p>
    <w:p>
      <w:pPr>
        <w:ind w:firstLine="708"/>
        <w:jc w:val="both"/>
        <w:rPr>
          <w:color w:val="000000"/>
        </w:rPr>
      </w:pPr>
      <w:r>
        <w:rPr>
          <w:color w:val="000000"/>
        </w:rPr>
        <w:t>Papildyti 14 straipsnį 3 dalimi:</w:t>
      </w:r>
    </w:p>
    <w:p>
      <w:pPr>
        <w:ind w:firstLine="708"/>
        <w:jc w:val="both"/>
        <w:rPr>
          <w:color w:val="000000"/>
        </w:rPr>
      </w:pPr>
      <w:r>
        <w:rPr>
          <w:color w:val="000000"/>
        </w:rPr>
        <w:t>„</w:t>
      </w:r>
      <w:r>
        <w:rPr>
          <w:color w:val="000000"/>
        </w:rPr>
        <w:t>3</w:t>
      </w:r>
      <w:r>
        <w:rPr>
          <w:color w:val="000000"/>
        </w:rPr>
        <w:t>. Savivaldybių žeme gali būti disponuojama ją perduodant valstybės nuosavybėn neatlygintinai, perduodant ją valdyti patikėjimo teise, parduodant, mainant, išnuomojant ar perduodant neatlygintinai naudotis, sudarant sandorius dėl žemės servitutų Civilinio kodekso, šio ir kitų įstatymų nustatyta tvarka. Kiti sandoriai dėl savivaldybių žemės negali būti sudaromi.“</w:t>
      </w:r>
    </w:p>
    <w:p>
      <w:pPr>
        <w:ind w:firstLine="708"/>
      </w:pPr>
    </w:p>
    <w:p>
      <w:pPr>
        <w:ind w:firstLine="708"/>
        <w:jc w:val="both"/>
        <w:rPr>
          <w:b/>
          <w:color w:val="000000"/>
        </w:rPr>
      </w:pPr>
      <w:r>
        <w:rPr>
          <w:b/>
          <w:color w:val="000000"/>
        </w:rPr>
        <w:t>2</w:t>
      </w:r>
      <w:r>
        <w:rPr>
          <w:b/>
          <w:color w:val="000000"/>
        </w:rPr>
        <w:t xml:space="preserve"> straipsnis. </w:t>
      </w:r>
      <w:r>
        <w:rPr>
          <w:b/>
          <w:color w:val="000000"/>
        </w:rPr>
        <w:t>19 straipsnio 5 dalies pakeitimas</w:t>
      </w:r>
    </w:p>
    <w:p>
      <w:pPr>
        <w:ind w:firstLine="708"/>
        <w:jc w:val="both"/>
        <w:rPr>
          <w:color w:val="000000"/>
        </w:rPr>
      </w:pPr>
      <w:r>
        <w:rPr>
          <w:color w:val="000000"/>
        </w:rPr>
        <w:t>Pakeisti</w:t>
      </w:r>
      <w:r>
        <w:rPr>
          <w:b/>
          <w:color w:val="000000"/>
        </w:rPr>
        <w:t xml:space="preserve"> </w:t>
      </w:r>
      <w:r>
        <w:rPr>
          <w:color w:val="000000"/>
        </w:rPr>
        <w:t>19 straipsnio 5 dalį ir ją išdėstyti taip:</w:t>
      </w:r>
    </w:p>
    <w:p>
      <w:pPr>
        <w:ind w:firstLine="708"/>
        <w:jc w:val="both"/>
        <w:rPr>
          <w:color w:val="000000"/>
        </w:rPr>
      </w:pPr>
      <w:r>
        <w:rPr>
          <w:color w:val="000000"/>
        </w:rPr>
        <w:t>„</w:t>
      </w:r>
      <w:r>
        <w:rPr>
          <w:color w:val="000000"/>
        </w:rPr>
        <w:t>5</w:t>
      </w:r>
      <w:r>
        <w:rPr>
          <w:color w:val="000000"/>
        </w:rPr>
        <w:t>. Savivaldybei nuosavybės teise priklausantis žemės sklypas savivaldybės tarybos sprendimu gali būti mainomas į valstybei, kitoms savivaldybėms bei fiziniams ar juridiniams asmenims nuosavybės teise priklausantį lygiavertį arba, nesant galimybės mainyti į lygiavertį, iki 5 procentų vertės besiskiriantį žemės sklypą ar kitą nekilnojamąjį daiktą, jeigu vykdoma žemės sklypų konsolidacija pagal parengtą teritorijos žemės konsolidacijos projektą.“</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1119</Characters>
  <Application>Microsoft Office Word</Application>
  <DocSecurity>4</DocSecurity>
  <Lines>29</Lines>
  <Paragraphs>17</Paragraphs>
  <ScaleCrop>false</ScaleCrop>
  <Company/>
  <LinksUpToDate>false</LinksUpToDate>
  <CharactersWithSpaces>1275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2015-08-07T02:23:00Z</dcterms:created>
  <dc:creator>User</dc:creator>
  <lastModifiedBy>Adlib User</lastModifiedBy>
  <dcterms:modified xsi:type="dcterms:W3CDTF">2015-08-07T02:23:00Z</dcterms:modified>
  <revision>2</revision>
</coreProperties>
</file>