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14E3B" w14:textId="77777777" w:rsidR="003F5FA1" w:rsidRDefault="003F5FA1">
      <w:pPr>
        <w:tabs>
          <w:tab w:val="center" w:pos="4153"/>
          <w:tab w:val="right" w:pos="8306"/>
        </w:tabs>
        <w:rPr>
          <w:lang w:val="en-GB"/>
        </w:rPr>
      </w:pPr>
    </w:p>
    <w:p w14:paraId="54B14E3C" w14:textId="77777777" w:rsidR="003F5FA1" w:rsidRDefault="004E6CE7">
      <w:pPr>
        <w:widowControl w:val="0"/>
        <w:jc w:val="center"/>
        <w:rPr>
          <w:caps/>
        </w:rPr>
      </w:pPr>
      <w:r>
        <w:rPr>
          <w:caps/>
          <w:lang w:val="en-US"/>
        </w:rPr>
        <w:pict w14:anchorId="54B14E59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5" w:shapeid="_x0000_s1029"/>
        </w:pict>
      </w:r>
      <w:r>
        <w:rPr>
          <w:caps/>
        </w:rPr>
        <w:t>Lietuvos Respublikos Vyriausybė</w:t>
      </w:r>
    </w:p>
    <w:p w14:paraId="54B14E3D" w14:textId="77777777" w:rsidR="003F5FA1" w:rsidRDefault="004E6CE7">
      <w:pPr>
        <w:widowControl w:val="0"/>
        <w:jc w:val="center"/>
        <w:rPr>
          <w:caps/>
          <w:spacing w:val="60"/>
        </w:rPr>
      </w:pPr>
      <w:r>
        <w:rPr>
          <w:caps/>
          <w:spacing w:val="60"/>
        </w:rPr>
        <w:t>NUTARIMAS</w:t>
      </w:r>
    </w:p>
    <w:p w14:paraId="54B14E3E" w14:textId="77777777" w:rsidR="003F5FA1" w:rsidRDefault="003F5FA1">
      <w:pPr>
        <w:widowControl w:val="0"/>
        <w:jc w:val="center"/>
        <w:outlineLvl w:val="1"/>
        <w:rPr>
          <w:caps/>
        </w:rPr>
      </w:pPr>
    </w:p>
    <w:p w14:paraId="54B14E3F" w14:textId="77777777" w:rsidR="003F5FA1" w:rsidRDefault="004E6CE7">
      <w:pPr>
        <w:jc w:val="center"/>
        <w:rPr>
          <w:b/>
        </w:rPr>
      </w:pPr>
      <w:r>
        <w:rPr>
          <w:b/>
        </w:rPr>
        <w:t xml:space="preserve">DĖL </w:t>
      </w:r>
      <w:r>
        <w:rPr>
          <w:b/>
          <w:caps/>
        </w:rPr>
        <w:t>lietuvos respublikos vyriausybės 2004 m. RUGPJŪČIO 18 d. nutarimo nr. 967 „dėl PLANŲ IR PROGRAMŲ STRATEGINIO PASEKMIŲ APLINKAI VERTINIMO TVARKOS APRAŠO patvirtinimo“ pakeitim</w:t>
      </w:r>
      <w:r>
        <w:rPr>
          <w:b/>
          <w:caps/>
        </w:rPr>
        <w:t>o</w:t>
      </w:r>
    </w:p>
    <w:p w14:paraId="54B14E40" w14:textId="77777777" w:rsidR="003F5FA1" w:rsidRDefault="003F5FA1"/>
    <w:p w14:paraId="54B14E41" w14:textId="77777777" w:rsidR="003F5FA1" w:rsidRDefault="004E6CE7">
      <w:pPr>
        <w:jc w:val="center"/>
      </w:pPr>
      <w:r>
        <w:t>2011 m. balandžio 27 d. Nr. 467</w:t>
      </w:r>
    </w:p>
    <w:p w14:paraId="54B14E42" w14:textId="77777777" w:rsidR="003F5FA1" w:rsidRDefault="004E6CE7">
      <w:pPr>
        <w:jc w:val="center"/>
      </w:pPr>
      <w:r>
        <w:t>Vilnius</w:t>
      </w:r>
    </w:p>
    <w:p w14:paraId="54B14E43" w14:textId="77777777" w:rsidR="003F5FA1" w:rsidRDefault="003F5FA1">
      <w:pPr>
        <w:jc w:val="center"/>
      </w:pPr>
    </w:p>
    <w:p w14:paraId="54B14E44" w14:textId="77777777" w:rsidR="003F5FA1" w:rsidRDefault="004E6CE7">
      <w:pPr>
        <w:ind w:firstLine="567"/>
        <w:jc w:val="both"/>
      </w:pPr>
      <w:r>
        <w:t>Lietuvos Respublikos Vyriausybė</w:t>
      </w:r>
      <w:r>
        <w:rPr>
          <w:spacing w:val="80"/>
        </w:rPr>
        <w:t xml:space="preserve"> </w:t>
      </w:r>
      <w:r>
        <w:rPr>
          <w:spacing w:val="60"/>
        </w:rPr>
        <w:t>nutari</w:t>
      </w:r>
      <w:r>
        <w:t>a:</w:t>
      </w:r>
    </w:p>
    <w:p w14:paraId="54B14E45" w14:textId="77777777" w:rsidR="003F5FA1" w:rsidRDefault="004E6CE7">
      <w:pPr>
        <w:ind w:firstLine="567"/>
        <w:jc w:val="both"/>
      </w:pPr>
      <w:r>
        <w:t>1</w:t>
      </w:r>
      <w:r>
        <w:t>. Pakeisti Lietuvos Respublikos Vyriausybės 2004 m. rugpjūčio 18 d. nutarimą Nr. 967 „Dėl Planų ir programų strateginio pasekmių aplinkai vertimo tvarkos aprašo patvi</w:t>
      </w:r>
      <w:r>
        <w:t xml:space="preserve">rtinimo“ (Žin., 2004, Nr. </w:t>
      </w:r>
      <w:hyperlink r:id="rId10" w:tgtFrame="_blank" w:history="1">
        <w:r>
          <w:rPr>
            <w:color w:val="0000FF" w:themeColor="hyperlink"/>
            <w:u w:val="single"/>
          </w:rPr>
          <w:t>130-4650</w:t>
        </w:r>
      </w:hyperlink>
      <w:r>
        <w:t xml:space="preserve">; 2010, Nr. </w:t>
      </w:r>
      <w:hyperlink r:id="rId11" w:tgtFrame="_blank" w:history="1">
        <w:r>
          <w:rPr>
            <w:color w:val="0000FF" w:themeColor="hyperlink"/>
            <w:u w:val="single"/>
          </w:rPr>
          <w:t>139-7125</w:t>
        </w:r>
      </w:hyperlink>
      <w:r>
        <w:t>):</w:t>
      </w:r>
    </w:p>
    <w:p w14:paraId="54B14E46" w14:textId="77777777" w:rsidR="003F5FA1" w:rsidRDefault="004E6CE7">
      <w:pPr>
        <w:ind w:firstLine="567"/>
        <w:jc w:val="both"/>
      </w:pPr>
      <w:r>
        <w:t>1.1</w:t>
      </w:r>
      <w:r>
        <w:t>. Išdėstyt</w:t>
      </w:r>
      <w:r>
        <w:t>i preambulę taip:</w:t>
      </w:r>
    </w:p>
    <w:p w14:paraId="54B14E47" w14:textId="77777777" w:rsidR="003F5FA1" w:rsidRDefault="004E6CE7">
      <w:pPr>
        <w:ind w:firstLine="567"/>
        <w:jc w:val="both"/>
      </w:pPr>
      <w:r>
        <w:t xml:space="preserve">„Vadovaudamasi Lietuvos Respublikos aplinkos apsaugos įstatymo (Žin., 1992, Nr. </w:t>
      </w:r>
      <w:hyperlink r:id="rId12" w:tgtFrame="_blank" w:history="1">
        <w:r>
          <w:rPr>
            <w:color w:val="0000FF" w:themeColor="hyperlink"/>
            <w:u w:val="single"/>
          </w:rPr>
          <w:t>5-75</w:t>
        </w:r>
      </w:hyperlink>
      <w:r>
        <w:t xml:space="preserve">; 2004, Nr. </w:t>
      </w:r>
      <w:hyperlink r:id="rId13" w:tgtFrame="_blank" w:history="1">
        <w:r>
          <w:rPr>
            <w:color w:val="0000FF" w:themeColor="hyperlink"/>
            <w:u w:val="single"/>
          </w:rPr>
          <w:t>36-1179</w:t>
        </w:r>
      </w:hyperlink>
      <w:r>
        <w:t>) 27 straipsniu, įgyvendindama 1991 m. Konvencijos dėl poveikio aplinkai vertinimo tarpvalstybiniame kontekste Strateginio aplinkos vertinimo protokolą, ratifikuotą Lietuvos Respublikos įstatymu „Dėl 1991 m.</w:t>
      </w:r>
      <w:r>
        <w:t xml:space="preserve"> Konvencijos dėl poveikio aplinkai vertinimo tarpvalstybiniame kontekste pirmojo ir antrojo pakeitimų ir 1991 m. Konvencijos dėl poveikio aplinkai vertinimo tarpvalstybiniame kontekste Strateginio aplinkos vertinimo protokolo ratifikavimo“ (Žin., 2010, Nr.</w:t>
      </w:r>
      <w:r>
        <w:t xml:space="preserve"> </w:t>
      </w:r>
      <w:hyperlink r:id="rId14" w:tgtFrame="_blank" w:history="1">
        <w:r>
          <w:rPr>
            <w:color w:val="0000FF" w:themeColor="hyperlink"/>
            <w:u w:val="single"/>
          </w:rPr>
          <w:t>137-7010</w:t>
        </w:r>
      </w:hyperlink>
      <w:r>
        <w:t>), ir</w:t>
      </w:r>
      <w:r>
        <w:rPr>
          <w:b/>
        </w:rPr>
        <w:t xml:space="preserve"> </w:t>
      </w:r>
      <w:r>
        <w:t>2001 m. birželio 27 d. Europos Parlamento ir Tarybos direktyvą 2001/42/EB dėl tam tikrų planų ir programų pasekmių aplinkai (</w:t>
      </w:r>
      <w:r>
        <w:rPr>
          <w:iCs/>
        </w:rPr>
        <w:t xml:space="preserve">OL </w:t>
      </w:r>
      <w:r>
        <w:rPr>
          <w:i/>
          <w:iCs/>
        </w:rPr>
        <w:t xml:space="preserve">2004 m. specialusis </w:t>
      </w:r>
      <w:r>
        <w:rPr>
          <w:i/>
          <w:iCs/>
        </w:rPr>
        <w:t>leidimas</w:t>
      </w:r>
      <w:r>
        <w:rPr>
          <w:iCs/>
        </w:rPr>
        <w:t>, 15 skyrius, 6 tomas, p. 157</w:t>
      </w:r>
      <w:r>
        <w:t>), Lietuvos Respublikos Vyriausybė</w:t>
      </w:r>
      <w:r>
        <w:rPr>
          <w:spacing w:val="80"/>
        </w:rPr>
        <w:t xml:space="preserve"> </w:t>
      </w:r>
      <w:r>
        <w:rPr>
          <w:spacing w:val="60"/>
        </w:rPr>
        <w:t>nutari</w:t>
      </w:r>
      <w:r>
        <w:t>a:“.</w:t>
      </w:r>
    </w:p>
    <w:bookmarkStart w:id="0" w:name="_GoBack" w:displacedByCustomXml="prev"/>
    <w:p w14:paraId="54B14E48" w14:textId="77777777" w:rsidR="003F5FA1" w:rsidRDefault="004E6CE7">
      <w:pPr>
        <w:ind w:firstLine="567"/>
        <w:jc w:val="both"/>
      </w:pPr>
      <w:r>
        <w:t>1.2</w:t>
      </w:r>
      <w:r>
        <w:t>. Pripažinti netekusiu galios 3.4 punktą.</w:t>
      </w:r>
    </w:p>
    <w:bookmarkEnd w:id="0" w:displacedByCustomXml="next"/>
    <w:p w14:paraId="54B14E49" w14:textId="77777777" w:rsidR="003F5FA1" w:rsidRDefault="004E6CE7">
      <w:pPr>
        <w:ind w:firstLine="567"/>
        <w:jc w:val="both"/>
      </w:pPr>
      <w:r>
        <w:t>1.3</w:t>
      </w:r>
      <w:r>
        <w:t>. Nurodytu nutarimu patvirtintame Planų ir programų strateginio pasekmių aplinkai vertinimo tvarkos apraše:</w:t>
      </w:r>
    </w:p>
    <w:p w14:paraId="54B14E4A" w14:textId="77777777" w:rsidR="003F5FA1" w:rsidRDefault="004E6CE7">
      <w:pPr>
        <w:ind w:firstLine="567"/>
        <w:jc w:val="both"/>
      </w:pPr>
      <w:r>
        <w:t>1.3.1</w:t>
      </w:r>
      <w:r>
        <w:t>. Išdėstyti 29 punktą taip:</w:t>
      </w:r>
    </w:p>
    <w:p w14:paraId="54B14E4B" w14:textId="77777777" w:rsidR="003F5FA1" w:rsidRDefault="004E6CE7">
      <w:pPr>
        <w:ind w:firstLine="567"/>
        <w:jc w:val="both"/>
      </w:pPr>
      <w:r>
        <w:t>„</w:t>
      </w:r>
      <w:r>
        <w:t>29</w:t>
      </w:r>
      <w:r>
        <w:t>. Plano ar programos rengimo organizatorius ar jo konsultantas, atlikęs konsultacijų su visuomene procedūras, pateikia ataskaitą, plano ar programos projektą ir konsultacijų su visuomene dokumentus, parengtus pagal teisės</w:t>
      </w:r>
      <w:r>
        <w:t xml:space="preserve"> aktus, nurodytus 9.3 punkte, o jeigu vertinami teritorijų planavimo dokumentų sprendiniai, – konsultacijų su visuomene dokumentus, parengtus pagal teisės aktus, nurodytus 9.3 punkte, ataskaitą ir plano koncepcijos kryptis vertinimo subjektams.“</w:t>
      </w:r>
    </w:p>
    <w:p w14:paraId="54B14E4C" w14:textId="77777777" w:rsidR="003F5FA1" w:rsidRDefault="004E6CE7">
      <w:pPr>
        <w:ind w:firstLine="567"/>
        <w:jc w:val="both"/>
      </w:pPr>
      <w:r>
        <w:t>1.3.</w:t>
      </w:r>
      <w:r>
        <w:t>2</w:t>
      </w:r>
      <w:r>
        <w:t>. Papildyti nauju 36 punktu:</w:t>
      </w:r>
    </w:p>
    <w:p w14:paraId="54B14E4D" w14:textId="77777777" w:rsidR="003F5FA1" w:rsidRDefault="004E6CE7">
      <w:pPr>
        <w:ind w:firstLine="567"/>
        <w:jc w:val="both"/>
      </w:pPr>
      <w:r>
        <w:t>„</w:t>
      </w:r>
      <w:r>
        <w:t>36</w:t>
      </w:r>
      <w:r>
        <w:t>. Kai atliekant vertinimą paaiškėja, kad Lietuvos Respublikoje rengiamų planų ir programų įgyvendinimo pasekmės gali būti reikšmingos užsienio valstybės, kuri yra prisijungusi prie 1991 m. Konvencijos dėl poveikio aplin</w:t>
      </w:r>
      <w:r>
        <w:t>kai vertinimo tarpvalstybiniame kontekste Strateginio aplinkos vertinimo protokolo, ratifikuoto Lietuvos Respublikos įstatymu „Dėl 1991 m. Konvencijos dėl poveikio aplinkai vertinimo tarpvalstybiniame kontekste pirmojo ir antrojo pakeitimų ir 1991 m. Konve</w:t>
      </w:r>
      <w:r>
        <w:t xml:space="preserve">ncijos dėl poveikio aplinkai vertinimo tarpvalstybiniame kontekste Strateginio aplinkos vertinimo protokolo ratifikavimo“ (Žin., 2010, Nr. </w:t>
      </w:r>
      <w:hyperlink r:id="rId15" w:tgtFrame="_blank" w:history="1">
        <w:r>
          <w:rPr>
            <w:color w:val="0000FF" w:themeColor="hyperlink"/>
            <w:u w:val="single"/>
          </w:rPr>
          <w:t>137-7010</w:t>
        </w:r>
      </w:hyperlink>
      <w:r>
        <w:t>) (toliau – Proto</w:t>
      </w:r>
      <w:r>
        <w:t>kolas), aplinkai, išskyrus Europos Sąjungos valstybę narę (toliau – Užsienio valstybė), arba kai tokia Užsienio valstybė pareikalauja, tarpvalstybinės konsultacijos atliekamos vadovaujantis Protokolu.“</w:t>
      </w:r>
    </w:p>
    <w:p w14:paraId="54B14E4E" w14:textId="77777777" w:rsidR="003F5FA1" w:rsidRDefault="004E6CE7">
      <w:pPr>
        <w:ind w:firstLine="567"/>
        <w:jc w:val="both"/>
      </w:pPr>
      <w:r>
        <w:t>1.3.3</w:t>
      </w:r>
      <w:r>
        <w:t>. Ankstesniuosius 36–44 punktus laikyti 3</w:t>
      </w:r>
      <w:r>
        <w:t>7–45 punktais.</w:t>
      </w:r>
    </w:p>
    <w:p w14:paraId="54B14E4F" w14:textId="77777777" w:rsidR="003F5FA1" w:rsidRDefault="004E6CE7">
      <w:pPr>
        <w:ind w:firstLine="567"/>
        <w:jc w:val="both"/>
        <w:rPr>
          <w:bCs/>
        </w:rPr>
      </w:pPr>
      <w:r>
        <w:t>1.3.4</w:t>
      </w:r>
      <w:r>
        <w:t>.</w:t>
      </w:r>
      <w:r>
        <w:rPr>
          <w:bCs/>
        </w:rPr>
        <w:t xml:space="preserve"> </w:t>
      </w:r>
      <w:r>
        <w:t>Išdėstyti</w:t>
      </w:r>
      <w:r>
        <w:rPr>
          <w:bCs/>
        </w:rPr>
        <w:t xml:space="preserve"> 2 priedo 11 punktą taip:</w:t>
      </w:r>
    </w:p>
    <w:p w14:paraId="54B14E50" w14:textId="77777777" w:rsidR="003F5FA1" w:rsidRDefault="004E6CE7">
      <w:pPr>
        <w:ind w:firstLine="567"/>
        <w:jc w:val="both"/>
      </w:pPr>
      <w:r>
        <w:rPr>
          <w:bCs/>
        </w:rPr>
        <w:t>„</w:t>
      </w:r>
      <w:r>
        <w:rPr>
          <w:bCs/>
        </w:rPr>
        <w:t>11</w:t>
      </w:r>
      <w:r>
        <w:rPr>
          <w:bCs/>
        </w:rPr>
        <w:t xml:space="preserve">. </w:t>
      </w:r>
      <w:r>
        <w:t>Netechninė</w:t>
      </w:r>
      <w:r>
        <w:rPr>
          <w:bCs/>
        </w:rPr>
        <w:t xml:space="preserve"> santrauka, kurioje pateikiamas šio priedo 1–10 punktuose nurodytos informacijos apibendrinimas, išskiriant svarbiausius vertinimo aspektus ir vertinimo </w:t>
      </w:r>
      <w:r>
        <w:rPr>
          <w:bCs/>
        </w:rPr>
        <w:lastRenderedPageBreak/>
        <w:t>rezultatus. Netechninė sa</w:t>
      </w:r>
      <w:r>
        <w:rPr>
          <w:bCs/>
        </w:rPr>
        <w:t>ntrauka turi būti lengvai suprantama tiek visuomenei, tiek valstybės ir savivaldybių institucijų atstovams.“</w:t>
      </w:r>
    </w:p>
    <w:p w14:paraId="54B14E51" w14:textId="77777777" w:rsidR="003F5FA1" w:rsidRDefault="004E6CE7">
      <w:pPr>
        <w:ind w:firstLine="567"/>
        <w:jc w:val="both"/>
      </w:pPr>
      <w:r>
        <w:t>2</w:t>
      </w:r>
      <w:r>
        <w:t>. Šio nutarimo 1.3.2 ir 1.3.3 punktai įsigalioja 2011 m. birželio 20 dieną.</w:t>
      </w:r>
    </w:p>
    <w:p w14:paraId="54B14E52" w14:textId="77777777" w:rsidR="003F5FA1" w:rsidRDefault="003F5FA1">
      <w:pPr>
        <w:jc w:val="both"/>
      </w:pPr>
    </w:p>
    <w:p w14:paraId="54B14E53" w14:textId="77777777" w:rsidR="003F5FA1" w:rsidRDefault="004E6CE7">
      <w:pPr>
        <w:jc w:val="both"/>
      </w:pPr>
    </w:p>
    <w:p w14:paraId="58CD8B99" w14:textId="77777777" w:rsidR="004E6CE7" w:rsidRDefault="004E6CE7">
      <w:pPr>
        <w:tabs>
          <w:tab w:val="right" w:pos="9071"/>
        </w:tabs>
      </w:pPr>
    </w:p>
    <w:p w14:paraId="75FD7F83" w14:textId="77777777" w:rsidR="004E6CE7" w:rsidRDefault="004E6CE7">
      <w:pPr>
        <w:tabs>
          <w:tab w:val="right" w:pos="9071"/>
        </w:tabs>
      </w:pPr>
    </w:p>
    <w:p w14:paraId="54B14E54" w14:textId="60714F56" w:rsidR="003F5FA1" w:rsidRDefault="004E6CE7">
      <w:pPr>
        <w:tabs>
          <w:tab w:val="right" w:pos="9071"/>
        </w:tabs>
      </w:pPr>
      <w:r>
        <w:t>MINISTRAS PIRMININKAS</w:t>
      </w:r>
      <w:r>
        <w:tab/>
        <w:t>ANDRIUS KUBILIUS</w:t>
      </w:r>
    </w:p>
    <w:p w14:paraId="54B14E55" w14:textId="77777777" w:rsidR="003F5FA1" w:rsidRDefault="003F5FA1"/>
    <w:p w14:paraId="1911CCAA" w14:textId="77777777" w:rsidR="004E6CE7" w:rsidRDefault="004E6CE7"/>
    <w:p w14:paraId="5AE543D6" w14:textId="77777777" w:rsidR="004E6CE7" w:rsidRDefault="004E6CE7"/>
    <w:p w14:paraId="54B14E58" w14:textId="7CDBFB2B" w:rsidR="003F5FA1" w:rsidRDefault="004E6CE7" w:rsidP="004E6CE7">
      <w:pPr>
        <w:tabs>
          <w:tab w:val="right" w:pos="9071"/>
        </w:tabs>
      </w:pPr>
      <w:r>
        <w:t>APLINKOS MINIS</w:t>
      </w:r>
      <w:r>
        <w:t>TRAS</w:t>
      </w:r>
      <w:r>
        <w:tab/>
        <w:t>GEDIMINAS KAZLAUSKAS</w:t>
      </w:r>
    </w:p>
    <w:sectPr w:rsidR="003F5FA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14E5C" w14:textId="77777777" w:rsidR="003F5FA1" w:rsidRDefault="004E6CE7">
      <w:r>
        <w:separator/>
      </w:r>
    </w:p>
  </w:endnote>
  <w:endnote w:type="continuationSeparator" w:id="0">
    <w:p w14:paraId="54B14E5D" w14:textId="77777777" w:rsidR="003F5FA1" w:rsidRDefault="004E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14E61" w14:textId="77777777" w:rsidR="003F5FA1" w:rsidRDefault="003F5FA1">
    <w:pPr>
      <w:tabs>
        <w:tab w:val="center" w:pos="4986"/>
        <w:tab w:val="right" w:pos="99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14E62" w14:textId="77777777" w:rsidR="003F5FA1" w:rsidRDefault="003F5FA1">
    <w:pPr>
      <w:tabs>
        <w:tab w:val="center" w:pos="4986"/>
        <w:tab w:val="right" w:pos="997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14E64" w14:textId="77777777" w:rsidR="003F5FA1" w:rsidRDefault="003F5FA1">
    <w:pPr>
      <w:tabs>
        <w:tab w:val="center" w:pos="4986"/>
        <w:tab w:val="right" w:pos="99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14E5A" w14:textId="77777777" w:rsidR="003F5FA1" w:rsidRDefault="004E6CE7">
      <w:r>
        <w:separator/>
      </w:r>
    </w:p>
  </w:footnote>
  <w:footnote w:type="continuationSeparator" w:id="0">
    <w:p w14:paraId="54B14E5B" w14:textId="77777777" w:rsidR="003F5FA1" w:rsidRDefault="004E6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14E5E" w14:textId="77777777" w:rsidR="003F5FA1" w:rsidRDefault="004E6CE7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54B14E5F" w14:textId="77777777" w:rsidR="003F5FA1" w:rsidRDefault="003F5FA1">
    <w:pPr>
      <w:tabs>
        <w:tab w:val="center" w:pos="4153"/>
        <w:tab w:val="right" w:pos="8306"/>
      </w:tabs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14E60" w14:textId="77777777" w:rsidR="003F5FA1" w:rsidRDefault="003F5FA1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14E63" w14:textId="77777777" w:rsidR="003F5FA1" w:rsidRDefault="003F5FA1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2D"/>
    <w:rsid w:val="003F5FA1"/>
    <w:rsid w:val="004E6CE7"/>
    <w:rsid w:val="008E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4B14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E6CE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E6C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egalAct.html?documentId=TAR.0F35D6D2E316"/>
  <Relationship Id="rId11" Type="http://schemas.openxmlformats.org/officeDocument/2006/relationships/hyperlink" TargetMode="External" Target="https://www.e-tar.lt/portal/legalAct.html?documentId=TAR.43A1D6293D25"/>
  <Relationship Id="rId12" Type="http://schemas.openxmlformats.org/officeDocument/2006/relationships/hyperlink" TargetMode="External" Target="https://www.e-tar.lt/portal/legalAct.html?documentId=TAR.E2780B68DE62"/>
  <Relationship Id="rId13" Type="http://schemas.openxmlformats.org/officeDocument/2006/relationships/hyperlink" TargetMode="External" Target="https://www.e-tar.lt/portal/legalAct.html?documentId=TAR.0311855FCC59"/>
  <Relationship Id="rId14" Type="http://schemas.openxmlformats.org/officeDocument/2006/relationships/hyperlink" TargetMode="External" Target="https://www.e-tar.lt/portal/legalAct.html?documentId=TAR.28A49809C3FA"/>
  <Relationship Id="rId15" Type="http://schemas.openxmlformats.org/officeDocument/2006/relationships/hyperlink" TargetMode="External" Target="https://www.e-tar.lt/portal/legalAct.html?documentId=TAR.28A49809C3FA"/>
  <Relationship Id="rId16" Type="http://schemas.openxmlformats.org/officeDocument/2006/relationships/header" Target="header1.xml"/>
  <Relationship Id="rId17" Type="http://schemas.openxmlformats.org/officeDocument/2006/relationships/header" Target="header2.xml"/>
  <Relationship Id="rId18" Type="http://schemas.openxmlformats.org/officeDocument/2006/relationships/footer" Target="footer1.xml"/>
  <Relationship Id="rId19" Type="http://schemas.openxmlformats.org/officeDocument/2006/relationships/footer" Target="footer2.xml"/>
  <Relationship Id="rId2" Type="http://schemas.openxmlformats.org/officeDocument/2006/relationships/styles" Target="styles.xml"/>
  <Relationship Id="rId20" Type="http://schemas.openxmlformats.org/officeDocument/2006/relationships/header" Target="header3.xml"/>
  <Relationship Id="rId21" Type="http://schemas.openxmlformats.org/officeDocument/2006/relationships/footer" Target="footer3.xml"/>
  <Relationship Id="rId22" Type="http://schemas.openxmlformats.org/officeDocument/2006/relationships/fontTable" Target="fontTable.xml"/>
  <Relationship Id="rId23" Type="http://schemas.openxmlformats.org/officeDocument/2006/relationships/glossaryDocument" Target="glossary/document.xml"/>
  <Relationship Id="rId24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13"/>
    <w:rsid w:val="00F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F3B1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F3B1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2608</Words>
  <Characters>1488</Characters>
  <Application>Microsoft Office Word</Application>
  <DocSecurity>0</DocSecurity>
  <Lines>12</Lines>
  <Paragraphs>8</Paragraphs>
  <ScaleCrop>false</ScaleCrop>
  <Company>LRVK</Company>
  <LinksUpToDate>false</LinksUpToDate>
  <CharactersWithSpaces>4088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2014-12-31T09:44:00Z</dcterms:created>
  <dc:creator>lrvk</dc:creator>
  <lastModifiedBy>BODIN Aušra</lastModifiedBy>
  <lastPrinted>2011-04-28T06:16:00Z</lastPrinted>
  <dcterms:modified xsi:type="dcterms:W3CDTF">2014-12-31T09:54:00Z</dcterms:modified>
  <revision>3</revision>
</coreProperties>
</file>