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ELEKTRONINIŲ RYŠIŲ ĮSTATYMO 12, 62 STRAIPSNIŲ IR 2 PRIEDO PAKEITIMO IR PAPILDYMO ĮSTATYMAS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lapkričio 7 d. Nr. XII-579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2004, Nr. </w:t>
      </w:r>
      <w:fldSimple w:instr="HYPERLINK https://www.e-tar.lt/portal/lt/legalAct/TAR.82D8168D3049 \t _blank">
        <w:r>
          <w:rPr>
            <w:color w:val="0000FF" w:themeColor="hyperlink"/>
            <w:szCs w:val="24"/>
            <w:lang w:eastAsia="lt-LT"/>
            <w:u w:val="single"/>
          </w:rPr>
          <w:t>69-2382</w:t>
        </w:r>
      </w:fldSimple>
      <w:r>
        <w:rPr>
          <w:color w:val="000000"/>
          <w:szCs w:val="24"/>
          <w:lang w:eastAsia="lt-LT"/>
        </w:rPr>
        <w:t>; 2008, Nr. </w:t>
      </w:r>
      <w:fldSimple w:instr="HYPERLINK https://www.e-tar.lt/portal/lt/legalAct/TAR.168E39B9FB8E \t _blank">
        <w:r>
          <w:rPr>
            <w:color w:val="0000FF" w:themeColor="hyperlink"/>
            <w:szCs w:val="24"/>
            <w:lang w:eastAsia="lt-LT"/>
            <w:u w:val="single"/>
          </w:rPr>
          <w:t>137-5383</w:t>
        </w:r>
      </w:fldSimple>
      <w:r>
        <w:rPr>
          <w:color w:val="000000"/>
          <w:szCs w:val="24"/>
          <w:lang w:eastAsia="lt-LT"/>
        </w:rPr>
        <w:t>; 2011, Nr. </w:t>
      </w:r>
      <w:fldSimple w:instr="HYPERLINK https://www.e-tar.lt/portal/lt/legalAct/TAR.4E37A1598E0C \t _blank">
        <w:r>
          <w:rPr>
            <w:color w:val="0000FF" w:themeColor="hyperlink"/>
            <w:szCs w:val="24"/>
            <w:lang w:eastAsia="lt-LT"/>
            <w:u w:val="single"/>
          </w:rPr>
          <w:t>91-4327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990F3139C625 \t _blank">
        <w:r>
          <w:rPr>
            <w:color w:val="0000FF" w:themeColor="hyperlink"/>
            <w:szCs w:val="24"/>
            <w:lang w:eastAsia="lt-LT"/>
            <w:u w:val="single"/>
          </w:rPr>
          <w:t>153-7200</w:t>
        </w:r>
      </w:fldSimple>
      <w:r>
        <w:rPr>
          <w:color w:val="000000"/>
          <w:szCs w:val="24"/>
          <w:lang w:eastAsia="lt-LT"/>
        </w:rPr>
        <w:t>; 2012, Nr. </w:t>
      </w:r>
      <w:fldSimple w:instr="HYPERLINK https://www.e-tar.lt/portal/lt/legalAct/TAR.2421B8282903 \t _blank">
        <w:r>
          <w:rPr>
            <w:color w:val="0000FF" w:themeColor="hyperlink"/>
            <w:szCs w:val="24"/>
            <w:lang w:eastAsia="lt-LT"/>
            <w:u w:val="single"/>
          </w:rPr>
          <w:t>132-6650</w:t>
        </w:r>
      </w:fldSimple>
      <w:r>
        <w:rPr>
          <w:color w:val="000000"/>
          <w:szCs w:val="24"/>
          <w:lang w:eastAsia="lt-LT"/>
        </w:rPr>
        <w:t>)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12 straipsnio 5 dalies pakeitimas ir papildymas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12 straipsnio 5 dalies 4 punktą ir jį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įgyvendina Reglamento (EB) Nr. 2006/2004 nuostatas, kiek tai susiję su šio Įstatymo 69 straipsnio reguliavimo dalyku;“.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Papildyti 12 straipsnio 5 dalį 5 punktu: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įgyvendina Reglamentą (ES) Nr. 611/2013.“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62 straipsnio 7 dalies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62 straipsnio 7 dalį ir ją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Šio straipsnio 4 dalyje nurodyti pranešimai teikiami vadovaujantis Reglamentu (ES) Nr. 611/2013.“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2 priedo papildymas ir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Papildyti Įstatymo 2 priedą 13 punktu: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>. 2004 m. spalio 27 d. Europos Parlamento ir Tarybos reglamentas (EB) Nr. 2006/2004 dėl nacionalinių institucijų, atsakingų už vartotojų apsaugos teisės aktų vykdymą, bendradarbiavimo (OL 2004 L 364, p. 1).“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Buvusius Įstatymo 2 priedo 13 ir 14 punktus laikyti atitinkamai 14 ir 15 punktais.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Papildyti Įstatymo 2 priedą 16 punktu: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>. 2013 m. birželio 24 d. Komisijos reglamentas (ES) Nr. 611/2013 dėl priemonių, kurios pagal Europos Parlamento ir Tarybos direktyvą 2002/58/EB dėl privatumo ir elektroninių ryšių taikomos pranešimams apie asmens duomenų saugumo pažeidimus (OL 2013 L 173, p. 2).“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1390</Characters>
  <Application>Microsoft Office Word</Application>
  <DocSecurity>4</DocSecurity>
  <Lines>38</Lines>
  <Paragraphs>24</Paragraphs>
  <ScaleCrop>false</ScaleCrop>
  <Company/>
  <LinksUpToDate>false</LinksUpToDate>
  <CharactersWithSpaces>1605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2015-09-20T06:55:00Z</dcterms:created>
  <dc:creator>Rima</dc:creator>
  <lastModifiedBy>Adlib User</lastModifiedBy>
  <dcterms:modified xsi:type="dcterms:W3CDTF">2015-09-20T06:55:00Z</dcterms:modified>
  <revision>2</revision>
  <dc:title>LIETUVOS RESPUBLIKOS ELEKTRONINIŲ RYŠIŲ ĮSTATYMO 12, 62 STRAIPSNIŲ IR 2 PRIEDO PAKEITIMO IR PAPILDYMO ĮSTATYMAS</dc:title>
</coreProperties>
</file>