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2EEC" w14:textId="77777777" w:rsidR="00A07417" w:rsidRDefault="001372EC">
      <w:pPr>
        <w:widowControl w:val="0"/>
        <w:jc w:val="center"/>
        <w:rPr>
          <w:color w:val="000000"/>
        </w:rPr>
      </w:pPr>
      <w:r>
        <w:rPr>
          <w:color w:val="000000"/>
        </w:rPr>
        <w:pict w14:anchorId="25FC2F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CIVILINĖS AVIACIJOS ADMINISTRACIJOS DIREKTORIAUS</w:t>
      </w:r>
    </w:p>
    <w:p w14:paraId="25FC2EED" w14:textId="77777777" w:rsidR="00A07417" w:rsidRDefault="001372EC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5FC2EEE" w14:textId="77777777" w:rsidR="00A07417" w:rsidRDefault="00A07417">
      <w:pPr>
        <w:widowControl w:val="0"/>
        <w:jc w:val="center"/>
        <w:rPr>
          <w:color w:val="000000"/>
        </w:rPr>
      </w:pPr>
    </w:p>
    <w:p w14:paraId="25FC2EEF" w14:textId="77777777" w:rsidR="00A07417" w:rsidRDefault="001372EC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ORO EISMO PASLAUGŲ TEIKIMUI NAUDOJAMŲ ĮRENGINIŲ TINKAMUMO NAUDOTI PAŽYMĖJIMŲ IŠDAVIMO TAISYKLIŲ PAKEITIMO</w:t>
      </w:r>
    </w:p>
    <w:p w14:paraId="25FC2EF0" w14:textId="77777777" w:rsidR="00A07417" w:rsidRDefault="00A07417">
      <w:pPr>
        <w:widowControl w:val="0"/>
        <w:jc w:val="center"/>
        <w:rPr>
          <w:b/>
          <w:bCs/>
          <w:color w:val="000000"/>
        </w:rPr>
      </w:pPr>
    </w:p>
    <w:p w14:paraId="25FC2EF1" w14:textId="77777777" w:rsidR="00A07417" w:rsidRDefault="001372EC">
      <w:pPr>
        <w:widowControl w:val="0"/>
        <w:jc w:val="center"/>
        <w:rPr>
          <w:color w:val="000000"/>
        </w:rPr>
      </w:pPr>
      <w:r>
        <w:rPr>
          <w:color w:val="000000"/>
        </w:rPr>
        <w:t>2012 m. gruodžio 20 d. Nr. 4R-313</w:t>
      </w:r>
    </w:p>
    <w:p w14:paraId="25FC2EF2" w14:textId="77777777" w:rsidR="00A07417" w:rsidRDefault="001372EC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25FC2EF3" w14:textId="77777777" w:rsidR="00A07417" w:rsidRDefault="00A07417">
      <w:pPr>
        <w:widowControl w:val="0"/>
        <w:ind w:firstLine="567"/>
        <w:jc w:val="both"/>
        <w:rPr>
          <w:color w:val="000000"/>
        </w:rPr>
      </w:pPr>
    </w:p>
    <w:p w14:paraId="6E1CD011" w14:textId="77777777" w:rsidR="001372EC" w:rsidRDefault="001372EC">
      <w:pPr>
        <w:widowControl w:val="0"/>
        <w:ind w:firstLine="567"/>
        <w:jc w:val="both"/>
        <w:rPr>
          <w:color w:val="000000"/>
        </w:rPr>
      </w:pPr>
    </w:p>
    <w:p w14:paraId="25FC2EF4" w14:textId="77777777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 a k e i č i u Oro eismo paslaugų teikimui naudojamų įrenginių tinkamumo naudoti pažymėjimų išdavimo taisykles, patvirtintas Civilinės aviacijos administracijos direktoriaus 2001 m. rugpjūčio 24 d. įsakymu Nr. 50 „Dėl oro eismo paslaugų teikimui naudojamų </w:t>
      </w:r>
      <w:r>
        <w:rPr>
          <w:color w:val="000000"/>
        </w:rPr>
        <w:t xml:space="preserve">įrenginių tinkamumo naudoti pažymėjimų išdavimo taisyklių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74-2618</w:t>
        </w:r>
      </w:hyperlink>
      <w:r>
        <w:rPr>
          <w:color w:val="000000"/>
        </w:rPr>
        <w:t>):</w:t>
      </w:r>
    </w:p>
    <w:p w14:paraId="25FC2EF5" w14:textId="77777777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nauju 9.8 punktu ir jį išdėstau taip:</w:t>
      </w:r>
    </w:p>
    <w:p w14:paraId="25FC2EF6" w14:textId="77777777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9.8</w:t>
      </w:r>
      <w:r>
        <w:rPr>
          <w:color w:val="000000"/>
        </w:rPr>
        <w:t>. EB patikrinimo d</w:t>
      </w:r>
      <w:r>
        <w:rPr>
          <w:color w:val="000000"/>
        </w:rPr>
        <w:t>eklaracijos turinys turi atitikti 4 priede nustatyto pavyzdžio reikalavimus.“</w:t>
      </w:r>
    </w:p>
    <w:p w14:paraId="25FC2EF7" w14:textId="77777777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1 priedą 1.10 punktu ir jį išdėstau taip:</w:t>
      </w:r>
    </w:p>
    <w:p w14:paraId="25FC2EF8" w14:textId="77777777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1.10</w:t>
      </w:r>
      <w:r>
        <w:rPr>
          <w:color w:val="000000"/>
        </w:rPr>
        <w:t>. Daugiajutiklinė aerodromo eismo stebėjimo sistema (MLAT).“</w:t>
      </w:r>
    </w:p>
    <w:p w14:paraId="25FC2EFB" w14:textId="798E95FC" w:rsidR="00A07417" w:rsidRDefault="001372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pridedamu nauju 4 priedu.</w:t>
      </w:r>
    </w:p>
    <w:p w14:paraId="675672E3" w14:textId="77777777" w:rsidR="001372EC" w:rsidRDefault="001372EC" w:rsidP="001372EC">
      <w:pPr>
        <w:widowControl w:val="0"/>
        <w:tabs>
          <w:tab w:val="right" w:pos="9071"/>
        </w:tabs>
        <w:rPr>
          <w:caps/>
          <w:color w:val="000000"/>
        </w:rPr>
      </w:pPr>
    </w:p>
    <w:p w14:paraId="7846EE84" w14:textId="77777777" w:rsidR="001372EC" w:rsidRDefault="001372EC" w:rsidP="001372EC">
      <w:pPr>
        <w:widowControl w:val="0"/>
        <w:tabs>
          <w:tab w:val="right" w:pos="9071"/>
        </w:tabs>
        <w:rPr>
          <w:caps/>
          <w:color w:val="000000"/>
        </w:rPr>
      </w:pPr>
    </w:p>
    <w:p w14:paraId="54392DD2" w14:textId="77777777" w:rsidR="001372EC" w:rsidRDefault="001372EC" w:rsidP="001372EC">
      <w:pPr>
        <w:widowControl w:val="0"/>
        <w:tabs>
          <w:tab w:val="right" w:pos="9071"/>
        </w:tabs>
        <w:rPr>
          <w:caps/>
          <w:color w:val="000000"/>
        </w:rPr>
      </w:pPr>
    </w:p>
    <w:p w14:paraId="25FC2EFF" w14:textId="7A826AC5" w:rsidR="00A07417" w:rsidRDefault="001372EC" w:rsidP="001372EC">
      <w:pPr>
        <w:widowControl w:val="0"/>
        <w:tabs>
          <w:tab w:val="right" w:pos="9071"/>
        </w:tabs>
        <w:rPr>
          <w:color w:val="000000"/>
        </w:rPr>
      </w:pPr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Kęstutis Auryla</w:t>
      </w:r>
    </w:p>
    <w:p w14:paraId="25FC2F00" w14:textId="77777777" w:rsidR="00A07417" w:rsidRDefault="001372EC">
      <w:pPr>
        <w:ind w:left="4535"/>
      </w:pPr>
      <w:r>
        <w:br w:type="page"/>
      </w:r>
      <w:r>
        <w:lastRenderedPageBreak/>
        <w:t xml:space="preserve">Oro eismo paslaugų teikimui naudojamų </w:t>
      </w:r>
    </w:p>
    <w:p w14:paraId="25FC2F01" w14:textId="77777777" w:rsidR="00A07417" w:rsidRDefault="001372EC">
      <w:pPr>
        <w:ind w:left="4535"/>
      </w:pPr>
      <w:r>
        <w:t xml:space="preserve">įrenginių tinkamumo naudoti pažymėjimų  </w:t>
      </w:r>
    </w:p>
    <w:p w14:paraId="25FC2F02" w14:textId="77777777" w:rsidR="00A07417" w:rsidRDefault="001372EC">
      <w:pPr>
        <w:ind w:left="4535"/>
      </w:pPr>
      <w:r>
        <w:t xml:space="preserve">išdavimo taisyklių </w:t>
      </w:r>
    </w:p>
    <w:p w14:paraId="25FC2F03" w14:textId="77777777" w:rsidR="00A07417" w:rsidRDefault="001372EC">
      <w:pPr>
        <w:ind w:left="4535"/>
      </w:pPr>
      <w:r>
        <w:t>4</w:t>
      </w:r>
      <w:r>
        <w:t xml:space="preserve"> priedas</w:t>
      </w:r>
    </w:p>
    <w:p w14:paraId="25FC2F04" w14:textId="77777777" w:rsidR="00A07417" w:rsidRDefault="00A07417"/>
    <w:p w14:paraId="25FC2F05" w14:textId="77777777" w:rsidR="00A07417" w:rsidRDefault="001372EC">
      <w:pPr>
        <w:jc w:val="center"/>
        <w:rPr>
          <w:b/>
        </w:rPr>
      </w:pPr>
      <w:r>
        <w:rPr>
          <w:b/>
        </w:rPr>
        <w:t>Europos oro eismo valdymo tinklo (EOEVT) sistemos patikrinimo ES deklaracija</w:t>
      </w:r>
    </w:p>
    <w:p w14:paraId="25FC2F06" w14:textId="77777777" w:rsidR="00A07417" w:rsidRDefault="00A07417">
      <w:pPr>
        <w:jc w:val="center"/>
        <w:rPr>
          <w:b/>
        </w:rPr>
      </w:pPr>
    </w:p>
    <w:p w14:paraId="25FC2F07" w14:textId="164198EC" w:rsidR="00A07417" w:rsidRDefault="001372EC">
      <w:pPr>
        <w:jc w:val="center"/>
        <w:rPr>
          <w:b/>
        </w:rPr>
      </w:pPr>
      <w:r>
        <w:rPr>
          <w:b/>
        </w:rPr>
        <w:t>____________________________</w:t>
      </w:r>
    </w:p>
    <w:p w14:paraId="25FC2F08" w14:textId="77777777" w:rsidR="00A07417" w:rsidRDefault="001372EC">
      <w:pPr>
        <w:jc w:val="center"/>
        <w:rPr>
          <w:i/>
        </w:rPr>
      </w:pPr>
      <w:r>
        <w:rPr>
          <w:i/>
        </w:rPr>
        <w:t>(Sistemos pavadinimas)</w:t>
      </w:r>
    </w:p>
    <w:p w14:paraId="25FC2F09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82"/>
        <w:gridCol w:w="4490"/>
      </w:tblGrid>
      <w:tr w:rsidR="00A07417" w14:paraId="25FC2F0C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0A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– oro navigacijos paslaugų teikėjas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0B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0F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0D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Oro navigacijos paslaugų teikėjo pavadinimas ir adresas. Sistemos įrengimo vieta.</w:t>
            </w:r>
          </w:p>
          <w:p w14:paraId="25FC2F0E" w14:textId="77777777" w:rsidR="00A07417" w:rsidRDefault="00A07417">
            <w:pPr>
              <w:rPr>
                <w:i/>
                <w:sz w:val="22"/>
                <w:szCs w:val="22"/>
              </w:rPr>
            </w:pPr>
          </w:p>
        </w:tc>
      </w:tr>
    </w:tbl>
    <w:p w14:paraId="25FC2F10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84"/>
        <w:gridCol w:w="4488"/>
      </w:tblGrid>
      <w:tr w:rsidR="00A07417" w14:paraId="25FC2F13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11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EOEVT sistemos aprašymas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12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19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14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EOEVT sistemos ir jos deklaracijoje nurodytų sąsajų nustatymas ir trumpas aprašas. </w:t>
            </w:r>
          </w:p>
          <w:p w14:paraId="25FC2F15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EOEVT apibūdinime nurodoma:</w:t>
            </w:r>
          </w:p>
          <w:p w14:paraId="25FC2F16" w14:textId="77777777" w:rsidR="00A07417" w:rsidRDefault="001372EC">
            <w:pPr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trumpas sistemos aprašymas;</w:t>
            </w:r>
          </w:p>
          <w:p w14:paraId="25FC2F17" w14:textId="77777777" w:rsidR="00A07417" w:rsidRDefault="001372EC">
            <w:pPr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suskirstymo į sudėtines dalis aprašymas;</w:t>
            </w:r>
          </w:p>
          <w:p w14:paraId="25FC2F18" w14:textId="77777777" w:rsidR="00A07417" w:rsidRDefault="001372EC">
            <w:pPr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sistemos funkcijų ir teikiamų paslaugų aprašymas.</w:t>
            </w:r>
          </w:p>
        </w:tc>
      </w:tr>
    </w:tbl>
    <w:p w14:paraId="25FC2F1A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623"/>
        <w:gridCol w:w="4449"/>
      </w:tblGrid>
      <w:tr w:rsidR="00A07417" w14:paraId="25FC2F1D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1B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– reglamen</w:t>
            </w:r>
            <w:r>
              <w:rPr>
                <w:sz w:val="22"/>
                <w:szCs w:val="22"/>
              </w:rPr>
              <w:t>tuojančios nuorodos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1C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20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1E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Taikomi EOEVT sistemos  esminiai reikalavimai ir įgyvendinimo taisyklių sąrašas.</w:t>
            </w:r>
          </w:p>
          <w:p w14:paraId="25FC2F1F" w14:textId="77777777" w:rsidR="00A07417" w:rsidRDefault="00A07417">
            <w:pPr>
              <w:rPr>
                <w:i/>
                <w:sz w:val="22"/>
                <w:szCs w:val="22"/>
              </w:rPr>
            </w:pPr>
          </w:p>
        </w:tc>
      </w:tr>
    </w:tbl>
    <w:p w14:paraId="25FC2F21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83"/>
        <w:gridCol w:w="4489"/>
      </w:tblGrid>
      <w:tr w:rsidR="00A07417" w14:paraId="25FC2F24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22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techninėje byloje saugomų dokumentų nuorodos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23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2E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25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Techninėje byloje saugomų atitinkamų techninių dokumentų ir pripažintų institucijų išduotų </w:t>
            </w:r>
            <w:r>
              <w:rPr>
                <w:i/>
                <w:sz w:val="22"/>
                <w:szCs w:val="22"/>
              </w:rPr>
              <w:t>atitikties pažymėjimų, jei tokių yra, sąrašas.</w:t>
            </w:r>
          </w:p>
          <w:p w14:paraId="25FC2F26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Nuoroda į patikrinimo deklaraciją;</w:t>
            </w:r>
          </w:p>
          <w:p w14:paraId="25FC2F27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Nuoroda į patikros ir įvertinimo dokumentus;</w:t>
            </w:r>
          </w:p>
          <w:p w14:paraId="25FC2F28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3. Sistemos sudedamųjų dalių sąrašas ir jų tinkamumo naudoti arba ES deklaracijų atitikimo  kopijos;</w:t>
            </w:r>
          </w:p>
          <w:p w14:paraId="25FC2F29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4. Naudojimo sąlygos i</w:t>
            </w:r>
            <w:r>
              <w:rPr>
                <w:i/>
                <w:iCs/>
                <w:sz w:val="22"/>
                <w:szCs w:val="22"/>
              </w:rPr>
              <w:t>r apribojimai;</w:t>
            </w:r>
          </w:p>
          <w:p w14:paraId="25FC2F2A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5. Sistemos konfigūracijos aprašymas;</w:t>
            </w:r>
          </w:p>
          <w:p w14:paraId="25FC2F2B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6. Techninės ir Europos Bendrijos specifikacijos;</w:t>
            </w:r>
          </w:p>
          <w:p w14:paraId="25FC2F2C" w14:textId="77777777" w:rsidR="00A07417" w:rsidRDefault="001372EC">
            <w:pPr>
              <w:ind w:firstLine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7. Pripažintų įstaigų išduoti  sistemos sertifikatai, jeigu įstaiga dalyvavo patikrinimo procese.</w:t>
            </w:r>
          </w:p>
          <w:p w14:paraId="25FC2F2D" w14:textId="77777777" w:rsidR="00A07417" w:rsidRDefault="00A07417">
            <w:pPr>
              <w:rPr>
                <w:i/>
                <w:sz w:val="22"/>
                <w:szCs w:val="22"/>
              </w:rPr>
            </w:pPr>
          </w:p>
        </w:tc>
      </w:tr>
    </w:tbl>
    <w:p w14:paraId="25FC2F2F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623"/>
        <w:gridCol w:w="4449"/>
      </w:tblGrid>
      <w:tr w:rsidR="00A07417" w14:paraId="25FC2F32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30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– atitikties normos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31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3B" w14:textId="7777777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33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Nurodyti standartus, kuriuos</w:t>
            </w:r>
            <w:r>
              <w:rPr>
                <w:i/>
                <w:sz w:val="22"/>
                <w:szCs w:val="22"/>
              </w:rPr>
              <w:t xml:space="preserve"> atitinka EOEVT sistema:</w:t>
            </w:r>
          </w:p>
          <w:p w14:paraId="25FC2F34" w14:textId="77777777" w:rsidR="00A07417" w:rsidRDefault="001372EC">
            <w:pPr>
              <w:ind w:firstLine="24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  <w:r>
              <w:rPr>
                <w:i/>
                <w:sz w:val="22"/>
                <w:szCs w:val="22"/>
                <w:u w:val="single"/>
              </w:rPr>
              <w:t>Europos Sąjungos oficialiame žurnale paskelbtos Bendrijos specifikacijos:</w:t>
            </w:r>
          </w:p>
          <w:p w14:paraId="25FC2F35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 Europos normos (EN), sukuriančios atitikties prielaidos su atitinkamais reglamentais, nurodytais III skiltyje ir įgyvendintais EOEVT sistemoje;</w:t>
            </w:r>
          </w:p>
          <w:p w14:paraId="25FC2F36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1.2. </w:t>
            </w:r>
            <w:r>
              <w:rPr>
                <w:i/>
                <w:sz w:val="22"/>
                <w:szCs w:val="22"/>
              </w:rPr>
              <w:t>Eurokontrolės specifikacijos, sukuriančios atitikties prielaidos su atitinkamais reglamentais, nurodytais III skiltyje ir įgyvendintais EOEVT sistemoje.</w:t>
            </w:r>
          </w:p>
          <w:p w14:paraId="25FC2F37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  <w:r>
              <w:rPr>
                <w:i/>
                <w:sz w:val="22"/>
                <w:szCs w:val="22"/>
                <w:u w:val="single"/>
              </w:rPr>
              <w:t>Kitos normos</w:t>
            </w:r>
            <w:r>
              <w:rPr>
                <w:i/>
                <w:sz w:val="22"/>
                <w:szCs w:val="22"/>
              </w:rPr>
              <w:t xml:space="preserve"> (būtina pagrįsti, kad buvo laikomasi Europos bendro dangaus oro eismo valdymo tinklo są</w:t>
            </w:r>
            <w:r>
              <w:rPr>
                <w:i/>
                <w:sz w:val="22"/>
                <w:szCs w:val="22"/>
              </w:rPr>
              <w:t>veikos reglamento esminių reikalavimų):</w:t>
            </w:r>
          </w:p>
          <w:p w14:paraId="25FC2F38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 Tarptautiniai standartai, kurie yra taikomi laikantis atitinkamų taisyklių, nustatytų III skiltyje ir įgyvendintų EOEVT sistemoje;</w:t>
            </w:r>
          </w:p>
          <w:p w14:paraId="25FC2F39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2.2. Kitos naudojimo ir techninės specifikacijos, taikomos kaip tinkamumo normos</w:t>
            </w:r>
            <w:r>
              <w:rPr>
                <w:i/>
                <w:sz w:val="22"/>
                <w:szCs w:val="22"/>
              </w:rPr>
              <w:t>, atitinkančios reglamentus, nurodytus III skiltyje ir įgyvendintus EOEVT sistemoje.</w:t>
            </w:r>
          </w:p>
          <w:p w14:paraId="25FC2F3A" w14:textId="77777777" w:rsidR="00A07417" w:rsidRDefault="00A07417">
            <w:pPr>
              <w:ind w:left="1620"/>
              <w:rPr>
                <w:i/>
                <w:sz w:val="22"/>
                <w:szCs w:val="22"/>
              </w:rPr>
            </w:pPr>
          </w:p>
        </w:tc>
      </w:tr>
    </w:tbl>
    <w:p w14:paraId="25FC2F3C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79"/>
        <w:gridCol w:w="4493"/>
      </w:tblGrid>
      <w:tr w:rsidR="00A07417" w14:paraId="25FC2F3F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3D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tvarkos aprašymas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3E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4A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40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1. Aprašyti sistemos patikrinimo procedūrą atsižvelgiant į:</w:t>
            </w:r>
          </w:p>
          <w:p w14:paraId="25FC2F41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 bendrą sistemos konstrukciją;</w:t>
            </w:r>
          </w:p>
          <w:p w14:paraId="25FC2F42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1.2. sistemos modifikaciją ir sąveiką su kitomis</w:t>
            </w:r>
            <w:r>
              <w:rPr>
                <w:i/>
                <w:sz w:val="22"/>
                <w:szCs w:val="22"/>
              </w:rPr>
              <w:t xml:space="preserve"> EOEVT sistemomis, įskaitant sudėtinių dalių montavimą ir bendruosius derinimo darbus;</w:t>
            </w:r>
          </w:p>
          <w:p w14:paraId="25FC2F43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1.3. sistemos naudojimo darną su kitomis sistemomis;</w:t>
            </w:r>
          </w:p>
          <w:p w14:paraId="25FC2F44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1.4. specialiosios sistemos techninės priežiūros nuostatas.</w:t>
            </w:r>
          </w:p>
          <w:p w14:paraId="25FC2F45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ONPT vidaus tikrinimo grandies vaidmuo tikrinimo metu</w:t>
            </w:r>
            <w:r>
              <w:rPr>
                <w:i/>
                <w:sz w:val="22"/>
                <w:szCs w:val="22"/>
              </w:rPr>
              <w:t>.</w:t>
            </w:r>
          </w:p>
          <w:p w14:paraId="25FC2F46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Jei nurodyta:</w:t>
            </w:r>
          </w:p>
          <w:p w14:paraId="25FC2F47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 pripažintų institucijų pavadinimai, adresai ir tapatybės numeriai;</w:t>
            </w:r>
          </w:p>
          <w:p w14:paraId="25FC2F48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 pripažintų institucijų vaidmuo tikrinimo metu.</w:t>
            </w:r>
          </w:p>
          <w:p w14:paraId="25FC2F49" w14:textId="77777777" w:rsidR="00A07417" w:rsidRDefault="00A07417">
            <w:pPr>
              <w:ind w:left="360"/>
              <w:rPr>
                <w:i/>
                <w:sz w:val="22"/>
                <w:szCs w:val="22"/>
              </w:rPr>
            </w:pPr>
          </w:p>
        </w:tc>
      </w:tr>
    </w:tbl>
    <w:p w14:paraId="25FC2F4B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79"/>
        <w:gridCol w:w="4493"/>
      </w:tblGrid>
      <w:tr w:rsidR="00A07417" w14:paraId="25FC2F4E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4C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– naudojimo sąlygos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4D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54" w14:textId="7777777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4F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Galutinės ar laikinosios nuostatos, kurios yra privalomos sistemai:</w:t>
            </w:r>
          </w:p>
          <w:p w14:paraId="25FC2F50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4.1. EOEVT </w:t>
            </w:r>
            <w:r>
              <w:rPr>
                <w:i/>
                <w:sz w:val="22"/>
                <w:szCs w:val="22"/>
              </w:rPr>
              <w:t>sistemos svarbiausieji naudojimo rodikliai (statiniai ir dinaminiai parametrai: ribos, sektorių skaičius, CNS sąveika, vartotojų skaičius, orlaivių, kuriems taikomos paslaugos, skaičius ir kt.);</w:t>
            </w:r>
          </w:p>
          <w:p w14:paraId="25FC2F51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 Naudojimo sąlygos ar ribojimai;</w:t>
            </w:r>
          </w:p>
          <w:p w14:paraId="25FC2F52" w14:textId="77777777" w:rsidR="00A07417" w:rsidRDefault="001372EC">
            <w:pPr>
              <w:ind w:firstLin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 Rezervinė įranga ar</w:t>
            </w:r>
            <w:r>
              <w:rPr>
                <w:i/>
                <w:sz w:val="22"/>
                <w:szCs w:val="22"/>
              </w:rPr>
              <w:t xml:space="preserve"> rezervinės sistemos.</w:t>
            </w:r>
          </w:p>
          <w:p w14:paraId="25FC2F53" w14:textId="77777777" w:rsidR="00A07417" w:rsidRDefault="00A07417">
            <w:pPr>
              <w:rPr>
                <w:i/>
                <w:sz w:val="22"/>
                <w:szCs w:val="22"/>
              </w:rPr>
            </w:pPr>
          </w:p>
        </w:tc>
      </w:tr>
    </w:tbl>
    <w:p w14:paraId="25FC2F55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A07417" w14:paraId="25FC2F58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2F56" w14:textId="77777777" w:rsidR="00A07417" w:rsidRDefault="00A07417">
            <w:pPr>
              <w:rPr>
                <w:sz w:val="5"/>
                <w:szCs w:val="5"/>
              </w:rPr>
            </w:pPr>
          </w:p>
          <w:p w14:paraId="25FC2F57" w14:textId="77777777" w:rsidR="00A07417" w:rsidRDefault="001372E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Europos Bendrijos deklaracijos galiojimo laikas</w:t>
            </w:r>
          </w:p>
        </w:tc>
      </w:tr>
      <w:tr w:rsidR="00A07417" w14:paraId="25FC2F5B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59" w14:textId="77777777" w:rsidR="00A07417" w:rsidRDefault="00A07417">
            <w:pPr>
              <w:rPr>
                <w:sz w:val="5"/>
                <w:szCs w:val="5"/>
              </w:rPr>
            </w:pPr>
          </w:p>
          <w:p w14:paraId="25FC2F5A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Deklaracijos galiojimo laiką nustato Oro navigacijos paslaugų teikėjas.</w:t>
            </w:r>
          </w:p>
        </w:tc>
      </w:tr>
    </w:tbl>
    <w:p w14:paraId="25FC2F5C" w14:textId="77777777" w:rsidR="00A07417" w:rsidRDefault="00A07417">
      <w:pPr>
        <w:jc w:val="center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093"/>
        <w:gridCol w:w="1498"/>
        <w:gridCol w:w="4481"/>
      </w:tblGrid>
      <w:tr w:rsidR="00A07417" w14:paraId="25FC2F5F" w14:textId="77777777">
        <w:trPr>
          <w:trHeight w:val="20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5D" w14:textId="77777777" w:rsidR="00A07417" w:rsidRDefault="00137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pareiškimas (deklaracija)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C2F5E" w14:textId="77777777" w:rsidR="00A07417" w:rsidRDefault="00A074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7417" w14:paraId="25FC2F62" w14:textId="77777777">
        <w:trPr>
          <w:trHeight w:val="2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60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Oro navigacijos paslaugų teikėjas (oro navigacijos paslaugų teikėjo</w:t>
            </w:r>
            <w:r>
              <w:rPr>
                <w:bCs/>
                <w:i/>
                <w:sz w:val="22"/>
                <w:szCs w:val="22"/>
              </w:rPr>
              <w:t xml:space="preserve"> pavadinimas, visas adresas) pareiškia, kad</w:t>
            </w:r>
            <w:r>
              <w:rPr>
                <w:i/>
                <w:sz w:val="22"/>
                <w:szCs w:val="22"/>
              </w:rPr>
              <w:t xml:space="preserve"> EOEVT sistema (sistemos pavadinimas)</w:t>
            </w:r>
            <w:r>
              <w:rPr>
                <w:bCs/>
                <w:i/>
                <w:sz w:val="22"/>
                <w:szCs w:val="22"/>
              </w:rPr>
              <w:t xml:space="preserve"> buvo patikrinta pagal 2004 m. kovo 10 d. Europos Bendrijos ir Tarybos reglamento Nr.552/2004 reikalavimus ir atitinka deklaracijoje pateiktų teisės aktų, standartų bei kitų reglamentuojančių dokumentų reikalavimus.</w:t>
            </w:r>
          </w:p>
          <w:p w14:paraId="25FC2F61" w14:textId="77777777" w:rsidR="00A07417" w:rsidRDefault="00A07417">
            <w:pPr>
              <w:rPr>
                <w:i/>
                <w:sz w:val="22"/>
                <w:szCs w:val="22"/>
              </w:rPr>
            </w:pPr>
          </w:p>
        </w:tc>
      </w:tr>
      <w:tr w:rsidR="00A07417" w14:paraId="25FC2F65" w14:textId="7777777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63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Deklaracijos sudarymo vieta ir data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F64" w14:textId="77777777" w:rsidR="00A07417" w:rsidRDefault="001372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</w:t>
            </w:r>
            <w:r>
              <w:rPr>
                <w:i/>
                <w:sz w:val="22"/>
                <w:szCs w:val="22"/>
              </w:rPr>
              <w:t>reigos, parašas, vardas ir pavardė</w:t>
            </w:r>
          </w:p>
        </w:tc>
      </w:tr>
    </w:tbl>
    <w:p w14:paraId="25FC2F66" w14:textId="0889E9BB" w:rsidR="00A07417" w:rsidRDefault="00A07417">
      <w:pPr>
        <w:jc w:val="both"/>
      </w:pPr>
    </w:p>
    <w:p w14:paraId="25FC2F68" w14:textId="26BE9DC0" w:rsidR="00A07417" w:rsidRDefault="001372EC" w:rsidP="001372EC">
      <w:pPr>
        <w:jc w:val="center"/>
      </w:pPr>
      <w:r>
        <w:t>_________________</w:t>
      </w:r>
    </w:p>
    <w:bookmarkStart w:id="0" w:name="_GoBack" w:displacedByCustomXml="next"/>
    <w:bookmarkEnd w:id="0" w:displacedByCustomXml="next"/>
    <w:sectPr w:rsidR="00A07417" w:rsidSect="00137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709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C2F6C" w14:textId="77777777" w:rsidR="00A07417" w:rsidRDefault="001372EC">
      <w:r>
        <w:separator/>
      </w:r>
    </w:p>
  </w:endnote>
  <w:endnote w:type="continuationSeparator" w:id="0">
    <w:p w14:paraId="25FC2F6D" w14:textId="77777777" w:rsidR="00A07417" w:rsidRDefault="001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70" w14:textId="77777777" w:rsidR="00A07417" w:rsidRDefault="00A0741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71" w14:textId="77777777" w:rsidR="00A07417" w:rsidRDefault="00A0741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73" w14:textId="77777777" w:rsidR="00A07417" w:rsidRDefault="00A0741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2F6A" w14:textId="77777777" w:rsidR="00A07417" w:rsidRDefault="001372EC">
      <w:r>
        <w:separator/>
      </w:r>
    </w:p>
  </w:footnote>
  <w:footnote w:type="continuationSeparator" w:id="0">
    <w:p w14:paraId="25FC2F6B" w14:textId="77777777" w:rsidR="00A07417" w:rsidRDefault="001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6E" w14:textId="77777777" w:rsidR="00A07417" w:rsidRDefault="00A0741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6F" w14:textId="77777777" w:rsidR="00A07417" w:rsidRDefault="00A0741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2F72" w14:textId="77777777" w:rsidR="00A07417" w:rsidRDefault="00A0741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66"/>
    <w:rsid w:val="001372EC"/>
    <w:rsid w:val="00351B66"/>
    <w:rsid w:val="00A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C2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7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7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CD61C3739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E1"/>
    <w:rsid w:val="005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33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3112</Words>
  <Characters>1775</Characters>
  <Application>Microsoft Office Word</Application>
  <DocSecurity>0</DocSecurity>
  <Lines>14</Lines>
  <Paragraphs>9</Paragraphs>
  <ScaleCrop>false</ScaleCrop>
  <Company>Teisines informacijos centras</Company>
  <LinksUpToDate>false</LinksUpToDate>
  <CharactersWithSpaces>4878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2015-10-04T04:00:00Z</dcterms:created>
  <dc:creator>Kamilija</dc:creator>
  <lastModifiedBy>PAVKŠTELO Julita</lastModifiedBy>
  <dcterms:modified xsi:type="dcterms:W3CDTF">2016-03-01T14:56:00Z</dcterms:modified>
  <revision>3</revision>
  <dc:title>CIVILINĖS AVIACIJOS ADMINISTRACIJOS DIREKTORIAUS</dc:title>
</coreProperties>
</file>