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BFDD6A4" w14:textId="77777777">
      <w:pPr>
        <w:jc w:val="center"/>
        <w:rPr>
          <w:b/>
        </w:rPr>
      </w:pPr>
      <w:r>
        <w:rPr>
          <w:b/>
          <w:lang w:eastAsia="lt-LT"/>
        </w:rPr>
        <w:pict w14:anchorId="2BFDD7B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6pt;height:.6pt;z-index:251657728;visibility:hidden;mso-position-horizontal-relative:text;mso-position-vertical-relative:text" stroked="f">
            <v:imagedata r:id="rId7" o:title=""/>
          </v:shape>
          <w:control r:id="rId8" w:name="Control 3" w:shapeid="_x0000_s1027"/>
        </w:pict>
      </w:r>
      <w:r>
        <w:rPr>
          <w:b/>
        </w:rPr>
        <w:t>LIETUVOS RESPUBLIKOS APLINKOS MINISTRAS</w:t>
      </w:r>
    </w:p>
    <w:p w14:paraId="2BFDD6A5" w14:textId="77777777">
      <w:pPr>
        <w:jc w:val="center"/>
      </w:pPr>
    </w:p>
    <w:p w14:paraId="2BFDD6A6" w14:textId="77777777">
      <w:pPr>
        <w:jc w:val="center"/>
        <w:rPr>
          <w:b/>
        </w:rPr>
      </w:pPr>
      <w:r>
        <w:rPr>
          <w:b/>
        </w:rPr>
        <w:t>Į S A K Y M A S</w:t>
      </w:r>
    </w:p>
    <w:p w14:paraId="2BFDD6A7" w14:textId="77777777">
      <w:pPr>
        <w:jc w:val="center"/>
        <w:rPr>
          <w:b/>
        </w:rPr>
      </w:pPr>
      <w:r>
        <w:rPr>
          <w:b/>
        </w:rPr>
        <w:t>DĖL APLINKOS MINISTRO 2002 M. GRUODŽIO 31 D. ĮSAKYMO NR. 699 „DĖL ATLIEKŲ DEGINIMO APLINKOSAUGINIŲ REIKALAVIMŲ PATVIRTINIMO“ PAKEITIMO</w:t>
      </w:r>
    </w:p>
    <w:p w14:paraId="2BFDD6A8" w14:textId="77777777">
      <w:pPr>
        <w:jc w:val="center"/>
      </w:pPr>
    </w:p>
    <w:p w14:paraId="2BFDD6A9" w14:textId="77777777">
      <w:pPr>
        <w:jc w:val="center"/>
      </w:pPr>
      <w:r>
        <w:t>2006 m. gruodžio 4 d. Nr. D1-564</w:t>
      </w:r>
    </w:p>
    <w:p w14:paraId="2BFDD6AA" w14:textId="77777777">
      <w:pPr>
        <w:jc w:val="center"/>
      </w:pPr>
      <w:r>
        <w:t>Vilnius</w:t>
      </w:r>
    </w:p>
    <w:p w14:paraId="2BFDD6AB" w14:textId="77777777">
      <w:pPr>
        <w:ind w:firstLine="709"/>
      </w:pPr>
    </w:p>
    <w:p w14:paraId="385DF910" w14:textId="77777777">
      <w:pPr>
        <w:ind w:firstLine="709"/>
      </w:pPr>
    </w:p>
    <w:p w14:paraId="2BFDD6AC" w14:textId="77777777">
      <w:pPr>
        <w:widowControl w:val="0"/>
        <w:shd w:val="clear" w:color="auto" w:fill="FFFFFF"/>
        <w:ind w:firstLine="709"/>
        <w:jc w:val="both"/>
      </w:pPr>
      <w:r>
        <w:t xml:space="preserve">Pakeičiu Atliekų deginimo aplinkosauginius reikalavimus, patvirtintus Lietuvos Respublikos aplinkos ministro 2002 m. gruodžio 31 d. įsakymu Nr. 699 „Dėl Atliekų deginimo aplinkosauginių reikalavimų patvirtinimo“ (Žin., 2003, Nr. </w:t>
      </w:r>
      <w:fldSimple w:instr="HYPERLINK https://www.e-tar.lt/portal/lt/legalAct/TAR.A6BE5BE0C398 \t _blank">
        <w:r>
          <w:rPr>
            <w:color w:val="0000FF" w:themeColor="hyperlink"/>
            <w:u w:val="single"/>
          </w:rPr>
          <w:t>31-1290</w:t>
        </w:r>
      </w:fldSimple>
      <w:r>
        <w:t>):</w:t>
      </w:r>
    </w:p>
    <w:p w14:paraId="2BFDD6AD" w14:textId="77777777">
      <w:pPr>
        <w:widowControl w:val="0"/>
        <w:shd w:val="clear" w:color="auto" w:fill="FFFFFF"/>
        <w:ind w:firstLine="709"/>
        <w:jc w:val="both"/>
      </w:pPr>
      <w:r>
        <w:t>1</w:t>
      </w:r>
      <w:r>
        <w:t>. Papildau šiuo nauju 6.7</w:t>
      </w:r>
      <w:r>
        <w:rPr>
          <w:vertAlign w:val="superscript"/>
        </w:rPr>
        <w:t>1</w:t>
      </w:r>
      <w:r>
        <w:t xml:space="preserve"> punktu:</w:t>
      </w:r>
    </w:p>
    <w:p w14:paraId="2BFDD6AE" w14:textId="77777777">
      <w:pPr>
        <w:widowControl w:val="0"/>
        <w:shd w:val="clear" w:color="auto" w:fill="FFFFFF"/>
        <w:ind w:firstLine="709"/>
        <w:jc w:val="both"/>
      </w:pPr>
      <w:r>
        <w:t>„</w:t>
      </w:r>
      <w:r>
        <w:t>6.7</w:t>
      </w:r>
      <w:r>
        <w:rPr>
          <w:vertAlign w:val="superscript"/>
        </w:rPr>
        <w:t>1</w:t>
      </w:r>
      <w:r>
        <w:t xml:space="preserve">. </w:t>
      </w:r>
      <w:r>
        <w:rPr>
          <w:b/>
          <w:bCs/>
        </w:rPr>
        <w:t xml:space="preserve">kubinis metras normaliomis sąlygomis </w:t>
      </w:r>
      <w:r>
        <w:t>(toliau – Nm</w:t>
      </w:r>
      <w:r>
        <w:rPr>
          <w:vertAlign w:val="superscript"/>
        </w:rPr>
        <w:t>3</w:t>
      </w:r>
      <w:r>
        <w:t>) – išmetamųjų dujų tūrio vienetas, perskaičiuotas sausoms dujoms, taikant šias standartines sąlygas: temperatūra – 273 K (0 °C), slėgis – 101,3 kPa (760 mmHg);“.</w:t>
      </w:r>
    </w:p>
    <w:p w14:paraId="2BFDD6AF" w14:textId="77777777">
      <w:pPr>
        <w:widowControl w:val="0"/>
        <w:shd w:val="clear" w:color="auto" w:fill="FFFFFF"/>
        <w:ind w:firstLine="709"/>
        <w:jc w:val="both"/>
      </w:pPr>
      <w:r>
        <w:t>2</w:t>
      </w:r>
      <w:r>
        <w:t>. Išdėstau 10.2 punktą taip:</w:t>
      </w:r>
    </w:p>
    <w:p w14:paraId="2BFDD6B0" w14:textId="77777777">
      <w:pPr>
        <w:widowControl w:val="0"/>
        <w:shd w:val="clear" w:color="auto" w:fill="FFFFFF"/>
        <w:ind w:firstLine="709"/>
        <w:jc w:val="both"/>
      </w:pPr>
      <w:r>
        <w:t>„</w:t>
      </w:r>
      <w:r>
        <w:t>10.2</w:t>
      </w:r>
      <w:r>
        <w:t>. deginimo arba bendro deginimo įrenginio atliekų deginimo nominalus galingumas, išreikštas MWth;“.</w:t>
      </w:r>
    </w:p>
    <w:p w14:paraId="2BFDD6B1" w14:textId="77777777">
      <w:pPr>
        <w:widowControl w:val="0"/>
        <w:shd w:val="clear" w:color="auto" w:fill="FFFFFF"/>
        <w:ind w:firstLine="709"/>
        <w:jc w:val="both"/>
      </w:pPr>
      <w:r>
        <w:t>3</w:t>
      </w:r>
      <w:r>
        <w:t>. Papildau šiuo nauju 10.4 punktu:</w:t>
      </w:r>
    </w:p>
    <w:p w14:paraId="2BFDD6B2" w14:textId="77777777">
      <w:pPr>
        <w:widowControl w:val="0"/>
        <w:shd w:val="clear" w:color="auto" w:fill="FFFFFF"/>
        <w:ind w:firstLine="709"/>
        <w:jc w:val="both"/>
      </w:pPr>
      <w:r>
        <w:t>„</w:t>
      </w:r>
      <w:r>
        <w:t>10.4</w:t>
      </w:r>
      <w:r>
        <w:t>. pareiga teikti metinę ataskaitą apie įrenginio veiklą, deginimo metodą, į orą ir vandenį išmetamų (išleidžiamų) teršalų monitoringą (duomenis lyginant su šiuose Reikalavimuose nustatytomis ribinėmis vertėmis).“.</w:t>
      </w:r>
    </w:p>
    <w:p w14:paraId="2BFDD6B3" w14:textId="77777777">
      <w:pPr>
        <w:widowControl w:val="0"/>
        <w:shd w:val="clear" w:color="auto" w:fill="FFFFFF"/>
        <w:ind w:firstLine="709"/>
        <w:jc w:val="both"/>
      </w:pPr>
      <w:r>
        <w:t>4</w:t>
      </w:r>
      <w:r>
        <w:t>. Išdėstau 16 punktą taip:</w:t>
      </w:r>
    </w:p>
    <w:p w14:paraId="2BFDD6B4" w14:textId="77777777">
      <w:pPr>
        <w:widowControl w:val="0"/>
        <w:shd w:val="clear" w:color="auto" w:fill="FFFFFF"/>
        <w:ind w:firstLine="709"/>
        <w:jc w:val="both"/>
      </w:pPr>
      <w:r>
        <w:t>„</w:t>
      </w:r>
      <w:r>
        <w:t>16</w:t>
      </w:r>
      <w:r>
        <w:t xml:space="preserve">. Deginimo įrenginys privalo būti eksploatuojamas taip, kad būtų pasiektas toks deginimo lygis, kad bendras organinės anglies kiekis pelenuose ir šlake būtų mažesnis kaip 3 </w:t>
      </w:r>
      <w:r>
        <w:rPr>
          <w:i/>
          <w:iCs/>
        </w:rPr>
        <w:t xml:space="preserve">% </w:t>
      </w:r>
      <w:r>
        <w:t xml:space="preserve">medžiagos sausosios dalies, arba uždegimo metu prarandama mažiau nei 5 </w:t>
      </w:r>
      <w:r>
        <w:rPr>
          <w:i/>
          <w:iCs/>
        </w:rPr>
        <w:t xml:space="preserve">% </w:t>
      </w:r>
      <w:r>
        <w:t>medžiagos sauso svorio. Prireikus taikomi atitinkami išankstinio atliekų apdorojimo būdai.“.</w:t>
      </w:r>
    </w:p>
    <w:p w14:paraId="2BFDD6B5" w14:textId="77777777">
      <w:pPr>
        <w:widowControl w:val="0"/>
        <w:shd w:val="clear" w:color="auto" w:fill="FFFFFF"/>
        <w:ind w:firstLine="709"/>
        <w:jc w:val="both"/>
      </w:pPr>
      <w:r>
        <w:t>5</w:t>
      </w:r>
      <w:r>
        <w:t>. Papildau šiuo nauju 37</w:t>
      </w:r>
      <w:r>
        <w:rPr>
          <w:vertAlign w:val="superscript"/>
        </w:rPr>
        <w:t>1</w:t>
      </w:r>
      <w:r>
        <w:t xml:space="preserve"> punktu:</w:t>
      </w:r>
    </w:p>
    <w:p w14:paraId="2BFDD6B6" w14:textId="77777777">
      <w:pPr>
        <w:widowControl w:val="0"/>
        <w:shd w:val="clear" w:color="auto" w:fill="FFFFFF"/>
        <w:ind w:firstLine="709"/>
        <w:jc w:val="both"/>
      </w:pPr>
      <w:r>
        <w:t>„</w:t>
      </w:r>
      <w:r>
        <w:t>37</w:t>
      </w:r>
      <w:r>
        <w:rPr>
          <w:vertAlign w:val="superscript"/>
        </w:rPr>
        <w:t>1</w:t>
      </w:r>
      <w:r>
        <w:t>. Skiesti nuotekas, kad būtų neviršytos šių Reikalavimų 4 priede nustatytos išmetamųjų teršalų ribinės vertės, draudžiama.“.</w:t>
      </w:r>
    </w:p>
    <w:p w14:paraId="2BFDD6B7" w14:textId="77777777">
      <w:pPr>
        <w:widowControl w:val="0"/>
        <w:shd w:val="clear" w:color="auto" w:fill="FFFFFF"/>
        <w:ind w:firstLine="709"/>
        <w:jc w:val="both"/>
      </w:pPr>
      <w:r>
        <w:t>6</w:t>
      </w:r>
      <w:r>
        <w:t>. Išdėstau 45 punktą taip:</w:t>
      </w:r>
    </w:p>
    <w:p w14:paraId="2BFDD6B8" w14:textId="77777777">
      <w:pPr>
        <w:widowControl w:val="0"/>
        <w:shd w:val="clear" w:color="auto" w:fill="FFFFFF"/>
        <w:ind w:firstLine="709"/>
        <w:jc w:val="both"/>
      </w:pPr>
      <w:r>
        <w:t>„</w:t>
      </w:r>
      <w:r>
        <w:t>45</w:t>
      </w:r>
      <w:r>
        <w:t>. Reikalavimai aplinkos monitoringo vykdymui nustatomi leidime. Regionų aplinkos apsaugos departamentai ne rečiau kaip kartą per metus privalo atlikti išmetamų teršalų į aplinką kontrolinius matavimus, atitinkančius šių Reikalavimų IX skyriuje nurodytas standartines sąlygas, siekiant nustatyti, ar neviršijamos teršalų ribinės vertės.“.</w:t>
      </w:r>
    </w:p>
    <w:p w14:paraId="2BFDD6B9" w14:textId="77777777">
      <w:pPr>
        <w:widowControl w:val="0"/>
        <w:shd w:val="clear" w:color="auto" w:fill="FFFFFF"/>
        <w:ind w:firstLine="709"/>
        <w:jc w:val="both"/>
      </w:pPr>
      <w:r>
        <w:t>7</w:t>
      </w:r>
      <w:r>
        <w:t>. Papildau šiuo nauju 48</w:t>
      </w:r>
      <w:r>
        <w:rPr>
          <w:vertAlign w:val="superscript"/>
        </w:rPr>
        <w:t>1</w:t>
      </w:r>
      <w:r>
        <w:t xml:space="preserve"> punktu:</w:t>
      </w:r>
    </w:p>
    <w:p w14:paraId="2BFDD6BA" w14:textId="77777777">
      <w:pPr>
        <w:widowControl w:val="0"/>
        <w:shd w:val="clear" w:color="auto" w:fill="FFFFFF"/>
        <w:ind w:firstLine="709"/>
        <w:jc w:val="both"/>
      </w:pPr>
      <w:r>
        <w:t>„</w:t>
      </w:r>
      <w:r>
        <w:t>48</w:t>
      </w:r>
      <w:r>
        <w:rPr>
          <w:vertAlign w:val="superscript"/>
        </w:rPr>
        <w:t>1</w:t>
      </w:r>
      <w:r>
        <w:t>. Išmetamųjų dujų sėdimo laikas, minimali temperatūra ir deguonies kiekis tikrinami mažiausiai vieną kartą po to, kai deginimo ar bendro deginimo įrenginys pradedamas eksploatuoti ir esant pačioms nepalankiausioms eksploatavimo sąlygoms.“.</w:t>
      </w:r>
    </w:p>
    <w:p w14:paraId="2BFDD6BB" w14:textId="77777777">
      <w:pPr>
        <w:widowControl w:val="0"/>
        <w:shd w:val="clear" w:color="auto" w:fill="FFFFFF"/>
        <w:ind w:firstLine="709"/>
        <w:jc w:val="both"/>
      </w:pPr>
      <w:r>
        <w:t>8</w:t>
      </w:r>
      <w:r>
        <w:t>. Papildau šiuo nauju 52.3 punktu:</w:t>
      </w:r>
    </w:p>
    <w:p w14:paraId="2BFDD6BC" w14:textId="77777777">
      <w:pPr>
        <w:widowControl w:val="0"/>
        <w:shd w:val="clear" w:color="auto" w:fill="FFFFFF"/>
        <w:ind w:firstLine="709"/>
        <w:jc w:val="both"/>
      </w:pPr>
      <w:r>
        <w:t>„</w:t>
      </w:r>
      <w:r>
        <w:t>52.3</w:t>
      </w:r>
      <w:r>
        <w:t>. atliekas deginant ar bendrai deginant esant deguonies pertekliui, regionų aplinkos apsaugos departamentai gali leisti naudoti kitokį nei nurodyta šių Reikalavimų 52.1 ir 52.2 punktuose deguonies kiekį, taikytiną matavimų rezultatams perskaičiuoti.“.</w:t>
      </w:r>
    </w:p>
    <w:p w14:paraId="2BFDD6BD" w14:textId="77777777">
      <w:pPr>
        <w:widowControl w:val="0"/>
        <w:shd w:val="clear" w:color="auto" w:fill="FFFFFF"/>
        <w:ind w:firstLine="709"/>
        <w:jc w:val="both"/>
      </w:pPr>
      <w:r>
        <w:t>9</w:t>
      </w:r>
      <w:r>
        <w:t>. Išdėstau 54 punktą taip:</w:t>
      </w:r>
    </w:p>
    <w:p w14:paraId="2BFDD6BE" w14:textId="77777777">
      <w:pPr>
        <w:widowControl w:val="0"/>
        <w:shd w:val="clear" w:color="auto" w:fill="FFFFFF"/>
        <w:ind w:firstLine="709"/>
        <w:jc w:val="both"/>
      </w:pPr>
      <w:r>
        <w:t>„</w:t>
      </w:r>
      <w:r>
        <w:t>54</w:t>
      </w:r>
      <w:r>
        <w:t>. Bendro deginimo atveju matavimų rezultatai perskaičiuojami taikant šių Reikalavimų 2 priede nurodytą standartinį deguonies kiekį.“.</w:t>
      </w:r>
    </w:p>
    <w:p w14:paraId="2BFDD6BF" w14:textId="77777777">
      <w:pPr>
        <w:widowControl w:val="0"/>
        <w:shd w:val="clear" w:color="auto" w:fill="FFFFFF"/>
        <w:ind w:firstLine="709"/>
        <w:jc w:val="both"/>
      </w:pPr>
      <w:r>
        <w:t>10</w:t>
      </w:r>
      <w:r>
        <w:t>. Išdėstau 56.1 punktą taip:</w:t>
      </w:r>
    </w:p>
    <w:p w14:paraId="2BFDD6C0" w14:textId="77777777">
      <w:pPr>
        <w:widowControl w:val="0"/>
        <w:shd w:val="clear" w:color="auto" w:fill="FFFFFF"/>
        <w:ind w:firstLine="709"/>
        <w:jc w:val="both"/>
      </w:pPr>
      <w:r>
        <w:t>„</w:t>
      </w:r>
      <w:r>
        <w:t>56.1</w:t>
      </w:r>
      <w:r>
        <w:t>. nė viena vidutinė paros vertė neviršija nė vienos šių Reikalavimų 5 priedo pirmoje dalyje arba 2 priede nustatytos išmetamųjų teršalų ribinės vertės, o 97 % paros vidutinių verčių per metus neviršija 5 priedo penktos dalies 5.1.1 punkte nustatytų verčių;“.</w:t>
      </w:r>
    </w:p>
    <w:p w14:paraId="2BFDD6C1" w14:textId="77777777">
      <w:pPr>
        <w:widowControl w:val="0"/>
        <w:shd w:val="clear" w:color="auto" w:fill="FFFFFF"/>
        <w:ind w:firstLine="709"/>
        <w:jc w:val="both"/>
      </w:pPr>
      <w:r>
        <w:t>11</w:t>
      </w:r>
      <w:r>
        <w:t>. Išdėstau 57-58 punktus taip:</w:t>
      </w:r>
    </w:p>
    <w:p w14:paraId="2BFDD6C2" w14:textId="77777777">
      <w:pPr>
        <w:widowControl w:val="0"/>
        <w:shd w:val="clear" w:color="auto" w:fill="FFFFFF"/>
        <w:ind w:firstLine="709"/>
        <w:jc w:val="both"/>
      </w:pPr>
      <w:r>
        <w:t>„</w:t>
      </w:r>
      <w:r>
        <w:t>57</w:t>
      </w:r>
      <w:r>
        <w:t>. Vidutinės pusės valandos vertės ir 10 minučių vidurkiai nustatomi pagal veiksminguoju eksploatacijos laiku (išskyrus paleidimo ir išjungimo laiką, jei atliekos nedeginamos) išmatuotas vertes prieš tai iš jų atėmus 3 priedo 3 punkte nurodytą patikimumo intervalo vertę. Paros vidutinės vertės nustatomos iš šių perskaičiuotų vidutinių verčių.</w:t>
      </w:r>
    </w:p>
    <w:p w14:paraId="2BFDD6C3" w14:textId="77777777">
      <w:pPr>
        <w:widowControl w:val="0"/>
        <w:shd w:val="clear" w:color="auto" w:fill="FFFFFF"/>
        <w:ind w:firstLine="709"/>
        <w:jc w:val="both"/>
      </w:pPr>
      <w:r>
        <w:t>58</w:t>
      </w:r>
      <w:r>
        <w:t>. Nustatant patikimą vidutinę paros vertę matavimo sistemos sutrikimų ar taisymo atveju, negali būti atmestos daugiau kaip penkios bet kurios paros vidutinės pusės valandos vertės. Dėl minėtos priežasties per metus negali būti atmesta daugiau kaip dešimt vidutinių paros verčių.“.</w:t>
      </w:r>
    </w:p>
    <w:p w14:paraId="2BFDD6C4" w14:textId="77777777">
      <w:pPr>
        <w:widowControl w:val="0"/>
        <w:shd w:val="clear" w:color="auto" w:fill="FFFFFF"/>
        <w:ind w:firstLine="709"/>
        <w:jc w:val="both"/>
      </w:pPr>
      <w:r>
        <w:t>12</w:t>
      </w:r>
      <w:r>
        <w:t>. Papildau šiuo nauju 62</w:t>
      </w:r>
      <w:r>
        <w:rPr>
          <w:vertAlign w:val="superscript"/>
        </w:rPr>
        <w:t>1</w:t>
      </w:r>
      <w:r>
        <w:t xml:space="preserve"> punktu:</w:t>
      </w:r>
    </w:p>
    <w:p w14:paraId="2BFDD6C5" w14:textId="77777777">
      <w:pPr>
        <w:widowControl w:val="0"/>
        <w:shd w:val="clear" w:color="auto" w:fill="FFFFFF"/>
        <w:ind w:firstLine="709"/>
        <w:jc w:val="both"/>
      </w:pPr>
      <w:r>
        <w:t>„</w:t>
      </w:r>
      <w:r>
        <w:t>62</w:t>
      </w:r>
      <w:r>
        <w:rPr>
          <w:vertAlign w:val="superscript"/>
        </w:rPr>
        <w:t>1</w:t>
      </w:r>
      <w:r>
        <w:t>. Matavimų rezultatus operatorius privalo registruoti ir pateikti aplinkos apsaugos valstybinės kontrolės pareigūnams, jiems pareikalavus. Ataskaitos apie į aplinką išmetamus teršalus teikiamos vadovaujantis jų rengimą ir teikimą reglamentuojančiais teisės aktais.“.</w:t>
      </w:r>
    </w:p>
    <w:p w14:paraId="2BFDD6C6" w14:textId="77777777">
      <w:pPr>
        <w:widowControl w:val="0"/>
        <w:shd w:val="clear" w:color="auto" w:fill="FFFFFF"/>
        <w:ind w:firstLine="709"/>
        <w:jc w:val="both"/>
      </w:pPr>
      <w:r>
        <w:t>13</w:t>
      </w:r>
      <w:r>
        <w:t>. Išdėstau 63 punktą taip:</w:t>
      </w:r>
    </w:p>
    <w:p w14:paraId="2BFDD6C7" w14:textId="77777777">
      <w:pPr>
        <w:widowControl w:val="0"/>
        <w:shd w:val="clear" w:color="auto" w:fill="FFFFFF"/>
        <w:ind w:firstLine="709"/>
        <w:jc w:val="both"/>
      </w:pPr>
      <w:r>
        <w:t>„</w:t>
      </w:r>
      <w:r>
        <w:t>63</w:t>
      </w:r>
      <w:r>
        <w:t>. Jei atlikti matavimai rodo, kad viršytos šiuose Reikalavimuose nustatytos į aplinkos orą arba į vandenį išmetamų teršalų ribinės vertės, operatorius privalo nedelsdamas informuoti regiono aplinkos apsaugos departamentą, kurio kontroliuojamoje teritorijoje yra deginimo ar bendro deginimo įrenginys. Informavimo būdą regionų aplinkos apsaugos departamentai nustato leidimuose.“.</w:t>
      </w:r>
    </w:p>
    <w:p w14:paraId="2BFDD6C8" w14:textId="77777777">
      <w:pPr>
        <w:widowControl w:val="0"/>
        <w:shd w:val="clear" w:color="auto" w:fill="FFFFFF"/>
        <w:ind w:firstLine="709"/>
        <w:jc w:val="both"/>
      </w:pPr>
      <w:r>
        <w:t>14</w:t>
      </w:r>
      <w:r>
        <w:t>. Papildau nurodytų reikalavimų 2 priedo 2 dalį 2.1</w:t>
      </w:r>
      <w:r>
        <w:rPr>
          <w:vertAlign w:val="superscript"/>
        </w:rPr>
        <w:t>1</w:t>
      </w:r>
      <w:r>
        <w:t xml:space="preserve"> punktu:</w:t>
      </w:r>
    </w:p>
    <w:p w14:paraId="2BFDD6C9" w14:textId="77777777">
      <w:pPr>
        <w:widowControl w:val="0"/>
        <w:shd w:val="clear" w:color="auto" w:fill="FFFFFF"/>
        <w:ind w:firstLine="709"/>
        <w:jc w:val="both"/>
      </w:pPr>
      <w:r>
        <w:t>„</w:t>
      </w:r>
      <w:r>
        <w:t>2.1</w:t>
      </w:r>
      <w:r>
        <w:rPr>
          <w:vertAlign w:val="superscript"/>
        </w:rPr>
        <w:t>1</w:t>
      </w:r>
      <w:r>
        <w:t>. Nuolatinių matavimų vidutinės paros išmetamųjų teršalų ribinės vertės, matavimų periodiškumas ir kiti matavimų reikalavimai nustatomi pagal 28-31 punktų nuostatas. Vidutinės pusės valandos išmetamųjų teršalų ribinės vertės reikalingos tik apskaičiuojant vidutines paros vertes.“.</w:t>
      </w:r>
    </w:p>
    <w:p w14:paraId="2BFDD6CA" w14:textId="77777777">
      <w:pPr>
        <w:widowControl w:val="0"/>
        <w:shd w:val="clear" w:color="auto" w:fill="FFFFFF"/>
        <w:ind w:firstLine="709"/>
        <w:jc w:val="both"/>
      </w:pPr>
      <w:r>
        <w:t>15</w:t>
      </w:r>
      <w:r>
        <w:t>. Išdėstau nurodytų reikalavimų 2 priedo 2 dalies 2.2 punktą taip:</w:t>
      </w:r>
    </w:p>
    <w:p w14:paraId="2BFDD6CB" w14:textId="04B43E33">
      <w:pPr>
        <w:widowControl w:val="0"/>
        <w:shd w:val="clear" w:color="auto" w:fill="FFFFFF"/>
        <w:ind w:firstLine="709"/>
        <w:jc w:val="both"/>
      </w:pPr>
      <w:r>
        <w:t>„</w:t>
      </w:r>
      <w:r>
        <w:t>2.2</w:t>
      </w:r>
      <w:r>
        <w:t>. Cemento gamybos krosnims, bendrai deginančioms atliekas, taikomos šios bendrosios išmetamųjų teršalų ribinės vertės:</w:t>
      </w:r>
    </w:p>
    <w:p w14:paraId="2BFDD6CC"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6407"/>
        <w:gridCol w:w="3230"/>
      </w:tblGrid>
      <w:tr w14:paraId="2BFDD6CF" w14:textId="77777777">
        <w:trPr>
          <w:cantSplit/>
          <w:trHeight w:val="22"/>
        </w:trPr>
        <w:tc>
          <w:tcPr>
            <w:tcW w:w="6063" w:type="dxa"/>
            <w:tcBorders>
              <w:top w:val="single" w:sz="6" w:space="0" w:color="auto"/>
              <w:left w:val="nil"/>
              <w:bottom w:val="single" w:sz="6" w:space="0" w:color="auto"/>
              <w:right w:val="single" w:sz="6" w:space="0" w:color="auto"/>
            </w:tcBorders>
            <w:shd w:val="clear" w:color="auto" w:fill="FFFFFF"/>
          </w:tcPr>
          <w:p w14:paraId="2BFDD6CD" w14:textId="77777777">
            <w:pPr>
              <w:widowControl w:val="0"/>
              <w:shd w:val="clear" w:color="auto" w:fill="FFFFFF"/>
              <w:rPr>
                <w:b/>
                <w:sz w:val="20"/>
              </w:rPr>
            </w:pPr>
            <w:r>
              <w:rPr>
                <w:b/>
                <w:sz w:val="20"/>
              </w:rPr>
              <w:t>Teršalas</w:t>
            </w:r>
          </w:p>
        </w:tc>
        <w:tc>
          <w:tcPr>
            <w:tcW w:w="3057" w:type="dxa"/>
            <w:tcBorders>
              <w:top w:val="single" w:sz="6" w:space="0" w:color="auto"/>
              <w:left w:val="single" w:sz="6" w:space="0" w:color="auto"/>
              <w:bottom w:val="single" w:sz="6" w:space="0" w:color="auto"/>
              <w:right w:val="nil"/>
            </w:tcBorders>
            <w:shd w:val="clear" w:color="auto" w:fill="FFFFFF"/>
          </w:tcPr>
          <w:p w14:paraId="2BFDD6CE" w14:textId="77777777">
            <w:pPr>
              <w:widowControl w:val="0"/>
              <w:shd w:val="clear" w:color="auto" w:fill="FFFFFF"/>
              <w:rPr>
                <w:b/>
                <w:sz w:val="20"/>
              </w:rPr>
            </w:pPr>
            <w:r>
              <w:rPr>
                <w:b/>
                <w:sz w:val="20"/>
              </w:rPr>
              <w:t>C</w:t>
            </w:r>
          </w:p>
        </w:tc>
      </w:tr>
      <w:tr w14:paraId="2BFDD6D2" w14:textId="77777777">
        <w:trPr>
          <w:cantSplit/>
          <w:trHeight w:val="22"/>
        </w:trPr>
        <w:tc>
          <w:tcPr>
            <w:tcW w:w="6063" w:type="dxa"/>
            <w:tcBorders>
              <w:top w:val="single" w:sz="6" w:space="0" w:color="auto"/>
              <w:left w:val="nil"/>
              <w:bottom w:val="nil"/>
              <w:right w:val="single" w:sz="6" w:space="0" w:color="auto"/>
            </w:tcBorders>
            <w:shd w:val="clear" w:color="auto" w:fill="FFFFFF"/>
          </w:tcPr>
          <w:p w14:paraId="2BFDD6D0" w14:textId="77777777">
            <w:pPr>
              <w:widowControl w:val="0"/>
              <w:shd w:val="clear" w:color="auto" w:fill="FFFFFF"/>
              <w:rPr>
                <w:sz w:val="20"/>
              </w:rPr>
            </w:pPr>
            <w:r>
              <w:rPr>
                <w:sz w:val="20"/>
              </w:rPr>
              <w:t>Bendras dulkių kiekis</w:t>
            </w:r>
          </w:p>
        </w:tc>
        <w:tc>
          <w:tcPr>
            <w:tcW w:w="3057" w:type="dxa"/>
            <w:tcBorders>
              <w:top w:val="single" w:sz="6" w:space="0" w:color="auto"/>
              <w:left w:val="single" w:sz="6" w:space="0" w:color="auto"/>
              <w:bottom w:val="nil"/>
              <w:right w:val="nil"/>
            </w:tcBorders>
            <w:shd w:val="clear" w:color="auto" w:fill="FFFFFF"/>
          </w:tcPr>
          <w:p w14:paraId="2BFDD6D1" w14:textId="77777777">
            <w:pPr>
              <w:widowControl w:val="0"/>
              <w:shd w:val="clear" w:color="auto" w:fill="FFFFFF"/>
              <w:rPr>
                <w:sz w:val="20"/>
              </w:rPr>
            </w:pPr>
            <w:r>
              <w:rPr>
                <w:sz w:val="20"/>
              </w:rPr>
              <w:t>30 mg/Nm</w:t>
            </w:r>
            <w:r>
              <w:rPr>
                <w:sz w:val="20"/>
                <w:vertAlign w:val="superscript"/>
              </w:rPr>
              <w:t>3</w:t>
            </w:r>
          </w:p>
        </w:tc>
      </w:tr>
      <w:tr w14:paraId="2BFDD6D5" w14:textId="77777777">
        <w:trPr>
          <w:cantSplit/>
          <w:trHeight w:val="22"/>
        </w:trPr>
        <w:tc>
          <w:tcPr>
            <w:tcW w:w="6063" w:type="dxa"/>
            <w:tcBorders>
              <w:top w:val="nil"/>
              <w:left w:val="nil"/>
              <w:bottom w:val="nil"/>
              <w:right w:val="single" w:sz="6" w:space="0" w:color="auto"/>
            </w:tcBorders>
            <w:shd w:val="clear" w:color="auto" w:fill="FFFFFF"/>
          </w:tcPr>
          <w:p w14:paraId="2BFDD6D3" w14:textId="77777777">
            <w:pPr>
              <w:widowControl w:val="0"/>
              <w:shd w:val="clear" w:color="auto" w:fill="FFFFFF"/>
              <w:rPr>
                <w:sz w:val="20"/>
              </w:rPr>
            </w:pPr>
            <w:r>
              <w:rPr>
                <w:sz w:val="20"/>
              </w:rPr>
              <w:t>HC1</w:t>
            </w:r>
          </w:p>
        </w:tc>
        <w:tc>
          <w:tcPr>
            <w:tcW w:w="3057" w:type="dxa"/>
            <w:tcBorders>
              <w:top w:val="nil"/>
              <w:left w:val="single" w:sz="6" w:space="0" w:color="auto"/>
              <w:bottom w:val="nil"/>
              <w:right w:val="nil"/>
            </w:tcBorders>
            <w:shd w:val="clear" w:color="auto" w:fill="FFFFFF"/>
          </w:tcPr>
          <w:p w14:paraId="2BFDD6D4" w14:textId="77777777">
            <w:pPr>
              <w:widowControl w:val="0"/>
              <w:shd w:val="clear" w:color="auto" w:fill="FFFFFF"/>
              <w:rPr>
                <w:sz w:val="20"/>
              </w:rPr>
            </w:pPr>
            <w:r>
              <w:rPr>
                <w:sz w:val="20"/>
              </w:rPr>
              <w:t>10 mg/Nm</w:t>
            </w:r>
            <w:r>
              <w:rPr>
                <w:sz w:val="20"/>
                <w:vertAlign w:val="superscript"/>
              </w:rPr>
              <w:t>3</w:t>
            </w:r>
          </w:p>
        </w:tc>
      </w:tr>
      <w:tr w14:paraId="2BFDD6D8" w14:textId="77777777">
        <w:trPr>
          <w:cantSplit/>
          <w:trHeight w:val="22"/>
        </w:trPr>
        <w:tc>
          <w:tcPr>
            <w:tcW w:w="6063" w:type="dxa"/>
            <w:tcBorders>
              <w:top w:val="nil"/>
              <w:left w:val="nil"/>
              <w:bottom w:val="nil"/>
              <w:right w:val="single" w:sz="6" w:space="0" w:color="auto"/>
            </w:tcBorders>
            <w:shd w:val="clear" w:color="auto" w:fill="FFFFFF"/>
          </w:tcPr>
          <w:p w14:paraId="2BFDD6D6" w14:textId="77777777">
            <w:pPr>
              <w:widowControl w:val="0"/>
              <w:shd w:val="clear" w:color="auto" w:fill="FFFFFF"/>
              <w:rPr>
                <w:sz w:val="20"/>
              </w:rPr>
            </w:pPr>
            <w:r>
              <w:rPr>
                <w:sz w:val="20"/>
              </w:rPr>
              <w:t>HF</w:t>
            </w:r>
          </w:p>
        </w:tc>
        <w:tc>
          <w:tcPr>
            <w:tcW w:w="3057" w:type="dxa"/>
            <w:tcBorders>
              <w:top w:val="nil"/>
              <w:left w:val="single" w:sz="6" w:space="0" w:color="auto"/>
              <w:bottom w:val="nil"/>
              <w:right w:val="nil"/>
            </w:tcBorders>
            <w:shd w:val="clear" w:color="auto" w:fill="FFFFFF"/>
          </w:tcPr>
          <w:p w14:paraId="2BFDD6D7" w14:textId="77777777">
            <w:pPr>
              <w:widowControl w:val="0"/>
              <w:shd w:val="clear" w:color="auto" w:fill="FFFFFF"/>
              <w:rPr>
                <w:sz w:val="20"/>
              </w:rPr>
            </w:pPr>
            <w:r>
              <w:rPr>
                <w:sz w:val="20"/>
              </w:rPr>
              <w:t>1 mg/Nm</w:t>
            </w:r>
            <w:r>
              <w:rPr>
                <w:sz w:val="20"/>
                <w:vertAlign w:val="superscript"/>
              </w:rPr>
              <w:t>3</w:t>
            </w:r>
          </w:p>
        </w:tc>
      </w:tr>
      <w:tr w14:paraId="2BFDD6DB" w14:textId="77777777">
        <w:trPr>
          <w:cantSplit/>
          <w:trHeight w:val="22"/>
        </w:trPr>
        <w:tc>
          <w:tcPr>
            <w:tcW w:w="6063" w:type="dxa"/>
            <w:tcBorders>
              <w:top w:val="nil"/>
              <w:left w:val="nil"/>
              <w:bottom w:val="nil"/>
              <w:right w:val="single" w:sz="6" w:space="0" w:color="auto"/>
            </w:tcBorders>
            <w:shd w:val="clear" w:color="auto" w:fill="FFFFFF"/>
          </w:tcPr>
          <w:p w14:paraId="2BFDD6D9" w14:textId="77777777">
            <w:pPr>
              <w:widowControl w:val="0"/>
              <w:shd w:val="clear" w:color="auto" w:fill="FFFFFF"/>
              <w:rPr>
                <w:sz w:val="20"/>
              </w:rPr>
            </w:pPr>
            <w:r>
              <w:rPr>
                <w:sz w:val="20"/>
              </w:rPr>
              <w:t>NO</w:t>
            </w:r>
            <w:r>
              <w:rPr>
                <w:sz w:val="20"/>
                <w:vertAlign w:val="subscript"/>
              </w:rPr>
              <w:t>x</w:t>
            </w:r>
            <w:r>
              <w:rPr>
                <w:sz w:val="20"/>
              </w:rPr>
              <w:t xml:space="preserve"> esamiems įrenginiams</w:t>
            </w:r>
          </w:p>
        </w:tc>
        <w:tc>
          <w:tcPr>
            <w:tcW w:w="3057" w:type="dxa"/>
            <w:tcBorders>
              <w:top w:val="nil"/>
              <w:left w:val="single" w:sz="6" w:space="0" w:color="auto"/>
              <w:bottom w:val="nil"/>
              <w:right w:val="nil"/>
            </w:tcBorders>
            <w:shd w:val="clear" w:color="auto" w:fill="FFFFFF"/>
          </w:tcPr>
          <w:p w14:paraId="2BFDD6DA" w14:textId="77777777">
            <w:pPr>
              <w:widowControl w:val="0"/>
              <w:shd w:val="clear" w:color="auto" w:fill="FFFFFF"/>
              <w:rPr>
                <w:sz w:val="20"/>
              </w:rPr>
            </w:pPr>
            <w:r>
              <w:rPr>
                <w:sz w:val="20"/>
              </w:rPr>
              <w:t>800 mg/Nm</w:t>
            </w:r>
            <w:r>
              <w:rPr>
                <w:sz w:val="20"/>
                <w:vertAlign w:val="superscript"/>
              </w:rPr>
              <w:t>3</w:t>
            </w:r>
          </w:p>
        </w:tc>
      </w:tr>
      <w:tr w14:paraId="2BFDD6DE" w14:textId="77777777">
        <w:trPr>
          <w:cantSplit/>
          <w:trHeight w:val="22"/>
        </w:trPr>
        <w:tc>
          <w:tcPr>
            <w:tcW w:w="6063" w:type="dxa"/>
            <w:tcBorders>
              <w:top w:val="nil"/>
              <w:left w:val="nil"/>
              <w:bottom w:val="nil"/>
              <w:right w:val="single" w:sz="6" w:space="0" w:color="auto"/>
            </w:tcBorders>
            <w:shd w:val="clear" w:color="auto" w:fill="FFFFFF"/>
          </w:tcPr>
          <w:p w14:paraId="2BFDD6DC" w14:textId="77777777">
            <w:pPr>
              <w:widowControl w:val="0"/>
              <w:shd w:val="clear" w:color="auto" w:fill="FFFFFF"/>
              <w:rPr>
                <w:sz w:val="20"/>
              </w:rPr>
            </w:pPr>
            <w:r>
              <w:rPr>
                <w:sz w:val="20"/>
              </w:rPr>
              <w:t>NO</w:t>
            </w:r>
            <w:r>
              <w:rPr>
                <w:sz w:val="20"/>
                <w:vertAlign w:val="subscript"/>
              </w:rPr>
              <w:t>x</w:t>
            </w:r>
            <w:r>
              <w:rPr>
                <w:sz w:val="20"/>
              </w:rPr>
              <w:t xml:space="preserve"> naujiems įrenginiams***</w:t>
            </w:r>
          </w:p>
        </w:tc>
        <w:tc>
          <w:tcPr>
            <w:tcW w:w="3057" w:type="dxa"/>
            <w:tcBorders>
              <w:top w:val="nil"/>
              <w:left w:val="single" w:sz="6" w:space="0" w:color="auto"/>
              <w:bottom w:val="nil"/>
              <w:right w:val="nil"/>
            </w:tcBorders>
            <w:shd w:val="clear" w:color="auto" w:fill="FFFFFF"/>
          </w:tcPr>
          <w:p w14:paraId="2BFDD6DD" w14:textId="77777777">
            <w:pPr>
              <w:widowControl w:val="0"/>
              <w:shd w:val="clear" w:color="auto" w:fill="FFFFFF"/>
              <w:rPr>
                <w:sz w:val="20"/>
              </w:rPr>
            </w:pPr>
            <w:r>
              <w:rPr>
                <w:sz w:val="20"/>
              </w:rPr>
              <w:t>500 mg/Nm</w:t>
            </w:r>
            <w:r>
              <w:rPr>
                <w:sz w:val="20"/>
                <w:vertAlign w:val="superscript"/>
              </w:rPr>
              <w:t>3</w:t>
            </w:r>
          </w:p>
        </w:tc>
      </w:tr>
      <w:tr w14:paraId="2BFDD6E1" w14:textId="77777777">
        <w:trPr>
          <w:cantSplit/>
          <w:trHeight w:val="22"/>
        </w:trPr>
        <w:tc>
          <w:tcPr>
            <w:tcW w:w="6063" w:type="dxa"/>
            <w:tcBorders>
              <w:top w:val="nil"/>
              <w:left w:val="nil"/>
              <w:bottom w:val="nil"/>
              <w:right w:val="single" w:sz="6" w:space="0" w:color="auto"/>
            </w:tcBorders>
            <w:shd w:val="clear" w:color="auto" w:fill="FFFFFF"/>
          </w:tcPr>
          <w:p w14:paraId="2BFDD6DF" w14:textId="77777777">
            <w:pPr>
              <w:widowControl w:val="0"/>
              <w:shd w:val="clear" w:color="auto" w:fill="FFFFFF"/>
              <w:rPr>
                <w:sz w:val="20"/>
              </w:rPr>
            </w:pPr>
            <w:r>
              <w:rPr>
                <w:bCs/>
                <w:sz w:val="20"/>
              </w:rPr>
              <w:t>SO</w:t>
            </w:r>
            <w:r>
              <w:rPr>
                <w:bCs/>
                <w:sz w:val="20"/>
                <w:vertAlign w:val="subscript"/>
              </w:rPr>
              <w:t>2</w:t>
            </w:r>
          </w:p>
        </w:tc>
        <w:tc>
          <w:tcPr>
            <w:tcW w:w="3057" w:type="dxa"/>
            <w:tcBorders>
              <w:top w:val="nil"/>
              <w:left w:val="single" w:sz="6" w:space="0" w:color="auto"/>
              <w:bottom w:val="nil"/>
              <w:right w:val="nil"/>
            </w:tcBorders>
            <w:shd w:val="clear" w:color="auto" w:fill="FFFFFF"/>
          </w:tcPr>
          <w:p w14:paraId="2BFDD6E0" w14:textId="77777777">
            <w:pPr>
              <w:widowControl w:val="0"/>
              <w:shd w:val="clear" w:color="auto" w:fill="FFFFFF"/>
              <w:rPr>
                <w:sz w:val="20"/>
              </w:rPr>
            </w:pPr>
            <w:r>
              <w:rPr>
                <w:sz w:val="20"/>
              </w:rPr>
              <w:t>50 mg/Nm</w:t>
            </w:r>
            <w:r>
              <w:rPr>
                <w:sz w:val="20"/>
                <w:vertAlign w:val="superscript"/>
              </w:rPr>
              <w:t>3</w:t>
            </w:r>
          </w:p>
        </w:tc>
      </w:tr>
      <w:tr w14:paraId="2BFDD6E4" w14:textId="77777777">
        <w:trPr>
          <w:cantSplit/>
          <w:trHeight w:val="22"/>
        </w:trPr>
        <w:tc>
          <w:tcPr>
            <w:tcW w:w="6063" w:type="dxa"/>
            <w:tcBorders>
              <w:top w:val="nil"/>
              <w:left w:val="nil"/>
              <w:bottom w:val="nil"/>
              <w:right w:val="single" w:sz="6" w:space="0" w:color="auto"/>
            </w:tcBorders>
            <w:shd w:val="clear" w:color="auto" w:fill="FFFFFF"/>
          </w:tcPr>
          <w:p w14:paraId="2BFDD6E2" w14:textId="77777777">
            <w:pPr>
              <w:widowControl w:val="0"/>
              <w:shd w:val="clear" w:color="auto" w:fill="FFFFFF"/>
              <w:rPr>
                <w:sz w:val="20"/>
              </w:rPr>
            </w:pPr>
            <w:r>
              <w:rPr>
                <w:sz w:val="20"/>
              </w:rPr>
              <w:t>BOA</w:t>
            </w:r>
          </w:p>
        </w:tc>
        <w:tc>
          <w:tcPr>
            <w:tcW w:w="3057" w:type="dxa"/>
            <w:tcBorders>
              <w:top w:val="nil"/>
              <w:left w:val="single" w:sz="6" w:space="0" w:color="auto"/>
              <w:bottom w:val="nil"/>
              <w:right w:val="nil"/>
            </w:tcBorders>
            <w:shd w:val="clear" w:color="auto" w:fill="FFFFFF"/>
          </w:tcPr>
          <w:p w14:paraId="2BFDD6E3" w14:textId="77777777">
            <w:pPr>
              <w:widowControl w:val="0"/>
              <w:shd w:val="clear" w:color="auto" w:fill="FFFFFF"/>
              <w:rPr>
                <w:sz w:val="20"/>
              </w:rPr>
            </w:pPr>
            <w:r>
              <w:rPr>
                <w:sz w:val="20"/>
              </w:rPr>
              <w:t>10 mg/Nm</w:t>
            </w:r>
            <w:r>
              <w:rPr>
                <w:sz w:val="20"/>
                <w:vertAlign w:val="superscript"/>
              </w:rPr>
              <w:t>3</w:t>
            </w:r>
          </w:p>
        </w:tc>
      </w:tr>
      <w:tr w14:paraId="2BFDD6E7" w14:textId="77777777">
        <w:trPr>
          <w:cantSplit/>
          <w:trHeight w:val="22"/>
        </w:trPr>
        <w:tc>
          <w:tcPr>
            <w:tcW w:w="6063" w:type="dxa"/>
            <w:tcBorders>
              <w:top w:val="nil"/>
              <w:left w:val="nil"/>
              <w:bottom w:val="nil"/>
              <w:right w:val="single" w:sz="6" w:space="0" w:color="auto"/>
            </w:tcBorders>
            <w:shd w:val="clear" w:color="auto" w:fill="FFFFFF"/>
          </w:tcPr>
          <w:p w14:paraId="2BFDD6E5" w14:textId="77777777">
            <w:pPr>
              <w:widowControl w:val="0"/>
              <w:shd w:val="clear" w:color="auto" w:fill="FFFFFF"/>
              <w:rPr>
                <w:sz w:val="20"/>
              </w:rPr>
            </w:pPr>
            <w:r>
              <w:rPr>
                <w:sz w:val="20"/>
              </w:rPr>
              <w:t>Cd + T1</w:t>
            </w:r>
          </w:p>
        </w:tc>
        <w:tc>
          <w:tcPr>
            <w:tcW w:w="3057" w:type="dxa"/>
            <w:tcBorders>
              <w:top w:val="nil"/>
              <w:left w:val="single" w:sz="6" w:space="0" w:color="auto"/>
              <w:bottom w:val="nil"/>
              <w:right w:val="nil"/>
            </w:tcBorders>
            <w:shd w:val="clear" w:color="auto" w:fill="FFFFFF"/>
          </w:tcPr>
          <w:p w14:paraId="2BFDD6E6" w14:textId="77777777">
            <w:pPr>
              <w:widowControl w:val="0"/>
              <w:shd w:val="clear" w:color="auto" w:fill="FFFFFF"/>
              <w:rPr>
                <w:sz w:val="20"/>
              </w:rPr>
            </w:pPr>
            <w:r>
              <w:rPr>
                <w:sz w:val="20"/>
              </w:rPr>
              <w:t>0,05 mg/Nm</w:t>
            </w:r>
            <w:r>
              <w:rPr>
                <w:sz w:val="20"/>
                <w:vertAlign w:val="superscript"/>
              </w:rPr>
              <w:t>3</w:t>
            </w:r>
          </w:p>
        </w:tc>
      </w:tr>
      <w:tr w14:paraId="2BFDD6EA" w14:textId="77777777">
        <w:trPr>
          <w:cantSplit/>
          <w:trHeight w:val="22"/>
        </w:trPr>
        <w:tc>
          <w:tcPr>
            <w:tcW w:w="6063" w:type="dxa"/>
            <w:tcBorders>
              <w:top w:val="nil"/>
              <w:left w:val="nil"/>
              <w:bottom w:val="nil"/>
              <w:right w:val="single" w:sz="6" w:space="0" w:color="auto"/>
            </w:tcBorders>
            <w:shd w:val="clear" w:color="auto" w:fill="FFFFFF"/>
          </w:tcPr>
          <w:p w14:paraId="2BFDD6E8" w14:textId="77777777">
            <w:pPr>
              <w:widowControl w:val="0"/>
              <w:shd w:val="clear" w:color="auto" w:fill="FFFFFF"/>
              <w:rPr>
                <w:sz w:val="20"/>
              </w:rPr>
            </w:pPr>
            <w:r>
              <w:rPr>
                <w:sz w:val="20"/>
              </w:rPr>
              <w:t>Hg</w:t>
            </w:r>
          </w:p>
        </w:tc>
        <w:tc>
          <w:tcPr>
            <w:tcW w:w="3057" w:type="dxa"/>
            <w:tcBorders>
              <w:top w:val="nil"/>
              <w:left w:val="single" w:sz="6" w:space="0" w:color="auto"/>
              <w:bottom w:val="nil"/>
              <w:right w:val="nil"/>
            </w:tcBorders>
            <w:shd w:val="clear" w:color="auto" w:fill="FFFFFF"/>
          </w:tcPr>
          <w:p w14:paraId="2BFDD6E9" w14:textId="77777777">
            <w:pPr>
              <w:widowControl w:val="0"/>
              <w:shd w:val="clear" w:color="auto" w:fill="FFFFFF"/>
              <w:rPr>
                <w:sz w:val="20"/>
              </w:rPr>
            </w:pPr>
            <w:r>
              <w:rPr>
                <w:sz w:val="20"/>
              </w:rPr>
              <w:t>0,05 mg/Nm</w:t>
            </w:r>
            <w:r>
              <w:rPr>
                <w:sz w:val="20"/>
                <w:vertAlign w:val="superscript"/>
              </w:rPr>
              <w:t>3</w:t>
            </w:r>
          </w:p>
        </w:tc>
      </w:tr>
      <w:tr w14:paraId="2BFDD6ED" w14:textId="77777777">
        <w:trPr>
          <w:cantSplit/>
          <w:trHeight w:val="22"/>
        </w:trPr>
        <w:tc>
          <w:tcPr>
            <w:tcW w:w="6063" w:type="dxa"/>
            <w:tcBorders>
              <w:top w:val="nil"/>
              <w:left w:val="nil"/>
              <w:bottom w:val="nil"/>
              <w:right w:val="single" w:sz="6" w:space="0" w:color="auto"/>
            </w:tcBorders>
            <w:shd w:val="clear" w:color="auto" w:fill="FFFFFF"/>
          </w:tcPr>
          <w:p w14:paraId="2BFDD6EB" w14:textId="77777777">
            <w:pPr>
              <w:widowControl w:val="0"/>
              <w:shd w:val="clear" w:color="auto" w:fill="FFFFFF"/>
              <w:rPr>
                <w:sz w:val="20"/>
              </w:rPr>
            </w:pPr>
            <w:r>
              <w:rPr>
                <w:sz w:val="20"/>
              </w:rPr>
              <w:t>Sb + As + Pb + Cr + Co + Cu + Mn + Ni + V</w:t>
            </w:r>
          </w:p>
        </w:tc>
        <w:tc>
          <w:tcPr>
            <w:tcW w:w="3057" w:type="dxa"/>
            <w:tcBorders>
              <w:top w:val="nil"/>
              <w:left w:val="single" w:sz="6" w:space="0" w:color="auto"/>
              <w:bottom w:val="nil"/>
              <w:right w:val="nil"/>
            </w:tcBorders>
            <w:shd w:val="clear" w:color="auto" w:fill="FFFFFF"/>
          </w:tcPr>
          <w:p w14:paraId="2BFDD6EC" w14:textId="77777777">
            <w:pPr>
              <w:widowControl w:val="0"/>
              <w:shd w:val="clear" w:color="auto" w:fill="FFFFFF"/>
              <w:rPr>
                <w:sz w:val="20"/>
              </w:rPr>
            </w:pPr>
            <w:r>
              <w:rPr>
                <w:sz w:val="20"/>
              </w:rPr>
              <w:t>0,5 mg/Nm</w:t>
            </w:r>
            <w:r>
              <w:rPr>
                <w:sz w:val="20"/>
                <w:vertAlign w:val="superscript"/>
              </w:rPr>
              <w:t>3</w:t>
            </w:r>
          </w:p>
        </w:tc>
      </w:tr>
      <w:tr w14:paraId="2BFDD6F0" w14:textId="77777777">
        <w:trPr>
          <w:cantSplit/>
          <w:trHeight w:val="22"/>
        </w:trPr>
        <w:tc>
          <w:tcPr>
            <w:tcW w:w="6063" w:type="dxa"/>
            <w:tcBorders>
              <w:top w:val="nil"/>
              <w:left w:val="nil"/>
              <w:bottom w:val="single" w:sz="6" w:space="0" w:color="auto"/>
              <w:right w:val="single" w:sz="6" w:space="0" w:color="auto"/>
            </w:tcBorders>
            <w:shd w:val="clear" w:color="auto" w:fill="FFFFFF"/>
          </w:tcPr>
          <w:p w14:paraId="2BFDD6EE" w14:textId="77777777">
            <w:pPr>
              <w:widowControl w:val="0"/>
              <w:shd w:val="clear" w:color="auto" w:fill="FFFFFF"/>
              <w:rPr>
                <w:sz w:val="20"/>
              </w:rPr>
            </w:pPr>
            <w:r>
              <w:rPr>
                <w:sz w:val="20"/>
              </w:rPr>
              <w:t>Dioksinai ir furanai</w:t>
            </w:r>
          </w:p>
        </w:tc>
        <w:tc>
          <w:tcPr>
            <w:tcW w:w="3057" w:type="dxa"/>
            <w:tcBorders>
              <w:top w:val="nil"/>
              <w:left w:val="single" w:sz="6" w:space="0" w:color="auto"/>
              <w:bottom w:val="single" w:sz="6" w:space="0" w:color="auto"/>
              <w:right w:val="nil"/>
            </w:tcBorders>
            <w:shd w:val="clear" w:color="auto" w:fill="FFFFFF"/>
          </w:tcPr>
          <w:p w14:paraId="2BFDD6EF" w14:textId="77777777">
            <w:pPr>
              <w:widowControl w:val="0"/>
              <w:shd w:val="clear" w:color="auto" w:fill="FFFFFF"/>
              <w:rPr>
                <w:sz w:val="20"/>
              </w:rPr>
            </w:pPr>
            <w:r>
              <w:rPr>
                <w:sz w:val="20"/>
              </w:rPr>
              <w:t>0,1 ng/Nm</w:t>
            </w:r>
            <w:r>
              <w:rPr>
                <w:sz w:val="20"/>
                <w:vertAlign w:val="superscript"/>
              </w:rPr>
              <w:t>3</w:t>
            </w:r>
          </w:p>
        </w:tc>
      </w:tr>
    </w:tbl>
    <w:p w14:paraId="2BFDD6F1" w14:textId="415F4767">
      <w:pPr>
        <w:ind w:firstLine="709"/>
      </w:pPr>
    </w:p>
    <w:p w14:paraId="2BFDD6F2" w14:textId="521B8FB0">
      <w:pPr>
        <w:widowControl w:val="0"/>
        <w:shd w:val="clear" w:color="auto" w:fill="FFFFFF"/>
        <w:ind w:firstLine="709"/>
        <w:jc w:val="both"/>
      </w:pPr>
      <w:r>
        <w:t>*** Nustatant NO</w:t>
      </w:r>
      <w:r>
        <w:rPr>
          <w:vertAlign w:val="subscript"/>
        </w:rPr>
        <w:t>X</w:t>
      </w:r>
      <w:r>
        <w:t xml:space="preserve"> ribines vertes, veikiančios ir turinčios nustatyta tvarka išduotą leidimą cemento gamybos krosnys, pradedančios bendrą atliekų deginimą po 2004 m. gruodžio 28 d., nepriskiriamos naujiems įrenginiams.“.</w:t>
      </w:r>
    </w:p>
    <w:p w14:paraId="2BFDD6F3" w14:textId="4C24F15F">
      <w:pPr>
        <w:ind w:firstLine="709"/>
      </w:pPr>
    </w:p>
    <w:p w14:paraId="2BFDD6F4" w14:textId="77777777">
      <w:pPr>
        <w:widowControl w:val="0"/>
        <w:shd w:val="clear" w:color="auto" w:fill="FFFFFF"/>
        <w:ind w:firstLine="709"/>
        <w:jc w:val="both"/>
      </w:pPr>
      <w:r>
        <w:t>16</w:t>
      </w:r>
      <w:r>
        <w:t>. Išdėstau nurodytų reikalavimų 2 priedo 3 dalies pavadinimą taip:</w:t>
      </w:r>
    </w:p>
    <w:p w14:paraId="2BFDD6F5" w14:textId="6A4BAC5D">
      <w:pPr>
        <w:widowControl w:val="0"/>
        <w:shd w:val="clear" w:color="auto" w:fill="FFFFFF"/>
        <w:ind w:firstLine="709"/>
        <w:jc w:val="both"/>
      </w:pPr>
      <w:r>
        <w:rPr>
          <w:bCs/>
        </w:rPr>
        <w:t>„</w:t>
      </w:r>
      <w:r>
        <w:rPr>
          <w:b/>
          <w:bCs/>
        </w:rPr>
        <w:t>3</w:t>
      </w:r>
      <w:r>
        <w:rPr>
          <w:b/>
          <w:bCs/>
        </w:rPr>
        <w:t>. Specialieji reikalavimai kurą deginantiems įrenginiams, bendrai deginantiems atliekas</w:t>
      </w:r>
      <w:r>
        <w:rPr>
          <w:bCs/>
        </w:rPr>
        <w:t>“.</w:t>
      </w:r>
    </w:p>
    <w:p w14:paraId="2BFDD6F6" w14:textId="2561531C">
      <w:pPr>
        <w:widowControl w:val="0"/>
        <w:shd w:val="clear" w:color="auto" w:fill="FFFFFF"/>
        <w:ind w:firstLine="709"/>
        <w:jc w:val="both"/>
      </w:pPr>
      <w:r>
        <w:t>17</w:t>
      </w:r>
      <w:r>
        <w:t>. Išdėstau nurodytų reikalavimų 2 priedo 3 dalies 3.1 punktą taip:</w:t>
      </w:r>
    </w:p>
    <w:p w14:paraId="2BFDD6F7" w14:textId="032F6A41">
      <w:pPr>
        <w:widowControl w:val="0"/>
        <w:shd w:val="clear" w:color="auto" w:fill="FFFFFF"/>
        <w:ind w:firstLine="709"/>
        <w:jc w:val="both"/>
      </w:pPr>
      <w:r>
        <w:t>„</w:t>
      </w:r>
      <w:r>
        <w:t>3.1</w:t>
      </w:r>
      <w:r>
        <w:t>. Vidutinės pusės valandos išmetamųjų teršalų ribinės vertės reikalingos tik apskaičiuojant vidutines paros vertes. Įrenginiams, deginantiems kietąjį kurą, taikomos šios vidutinės paros išmetamųjų teršalų ribinės vertės (C</w:t>
      </w:r>
      <w:r>
        <w:rPr>
          <w:vertAlign w:val="subscript"/>
        </w:rPr>
        <w:t>PROC</w:t>
      </w:r>
      <w:r>
        <w:t xml:space="preserve"> išreikšta mg/Nm</w:t>
      </w:r>
      <w:r>
        <w:rPr>
          <w:vertAlign w:val="superscript"/>
        </w:rPr>
        <w:t>3</w:t>
      </w:r>
      <w:r>
        <w:t>; standartinis O</w:t>
      </w:r>
      <w:r>
        <w:rPr>
          <w:vertAlign w:val="subscript"/>
        </w:rPr>
        <w:t>2</w:t>
      </w:r>
      <w:r>
        <w:t xml:space="preserve"> kiekis – 6 %):</w:t>
      </w:r>
    </w:p>
    <w:p w14:paraId="2BFDD6F8"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1376"/>
        <w:gridCol w:w="1422"/>
        <w:gridCol w:w="1958"/>
        <w:gridCol w:w="2984"/>
        <w:gridCol w:w="1897"/>
      </w:tblGrid>
      <w:tr w14:paraId="2BFDD6FE" w14:textId="77777777">
        <w:trPr>
          <w:cantSplit/>
          <w:trHeight w:val="23"/>
        </w:trPr>
        <w:tc>
          <w:tcPr>
            <w:tcW w:w="1320" w:type="dxa"/>
            <w:tcBorders>
              <w:top w:val="single" w:sz="6" w:space="0" w:color="auto"/>
              <w:left w:val="nil"/>
              <w:bottom w:val="single" w:sz="6" w:space="0" w:color="auto"/>
              <w:right w:val="single" w:sz="6" w:space="0" w:color="auto"/>
            </w:tcBorders>
            <w:shd w:val="clear" w:color="auto" w:fill="FFFFFF"/>
          </w:tcPr>
          <w:p w14:paraId="2BFDD6F9" w14:textId="77777777">
            <w:pPr>
              <w:widowControl w:val="0"/>
              <w:shd w:val="clear" w:color="auto" w:fill="FFFFFF"/>
              <w:rPr>
                <w:sz w:val="20"/>
              </w:rPr>
            </w:pPr>
            <w:r>
              <w:rPr>
                <w:b/>
                <w:bCs/>
                <w:sz w:val="20"/>
              </w:rPr>
              <w:t>Teršalai</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BFDD6FA" w14:textId="77777777">
            <w:pPr>
              <w:widowControl w:val="0"/>
              <w:shd w:val="clear" w:color="auto" w:fill="FFFFFF"/>
              <w:rPr>
                <w:sz w:val="20"/>
              </w:rPr>
            </w:pPr>
            <w:r>
              <w:rPr>
                <w:b/>
                <w:bCs/>
                <w:sz w:val="20"/>
              </w:rPr>
              <w:t>&lt; 50 MWth</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2BFDD6FB" w14:textId="77777777">
            <w:pPr>
              <w:widowControl w:val="0"/>
              <w:shd w:val="clear" w:color="auto" w:fill="FFFFFF"/>
              <w:rPr>
                <w:sz w:val="20"/>
              </w:rPr>
            </w:pPr>
            <w:r>
              <w:rPr>
                <w:b/>
                <w:bCs/>
                <w:sz w:val="20"/>
              </w:rPr>
              <w:t>Nuo 50 iki l00 MWth</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14:paraId="2BFDD6FC" w14:textId="77777777">
            <w:pPr>
              <w:widowControl w:val="0"/>
              <w:shd w:val="clear" w:color="auto" w:fill="FFFFFF"/>
              <w:rPr>
                <w:sz w:val="20"/>
              </w:rPr>
            </w:pPr>
            <w:r>
              <w:rPr>
                <w:b/>
                <w:bCs/>
                <w:sz w:val="20"/>
              </w:rPr>
              <w:t>Nuo 100 iki 300 MWth</w:t>
            </w:r>
          </w:p>
        </w:tc>
        <w:tc>
          <w:tcPr>
            <w:tcW w:w="1819" w:type="dxa"/>
            <w:tcBorders>
              <w:top w:val="single" w:sz="6" w:space="0" w:color="auto"/>
              <w:left w:val="single" w:sz="6" w:space="0" w:color="auto"/>
              <w:bottom w:val="single" w:sz="6" w:space="0" w:color="auto"/>
              <w:right w:val="nil"/>
            </w:tcBorders>
            <w:shd w:val="clear" w:color="auto" w:fill="FFFFFF"/>
          </w:tcPr>
          <w:p w14:paraId="2BFDD6FD" w14:textId="77777777">
            <w:pPr>
              <w:widowControl w:val="0"/>
              <w:shd w:val="clear" w:color="auto" w:fill="FFFFFF"/>
              <w:rPr>
                <w:sz w:val="20"/>
              </w:rPr>
            </w:pPr>
            <w:r>
              <w:rPr>
                <w:b/>
                <w:bCs/>
                <w:sz w:val="20"/>
              </w:rPr>
              <w:t>&gt; 300 MWth</w:t>
            </w:r>
          </w:p>
        </w:tc>
      </w:tr>
      <w:tr w14:paraId="2BFDD705" w14:textId="77777777">
        <w:trPr>
          <w:cantSplit/>
          <w:trHeight w:val="23"/>
        </w:trPr>
        <w:tc>
          <w:tcPr>
            <w:tcW w:w="1320" w:type="dxa"/>
            <w:tcBorders>
              <w:top w:val="single" w:sz="6" w:space="0" w:color="auto"/>
              <w:left w:val="nil"/>
              <w:bottom w:val="nil"/>
              <w:right w:val="single" w:sz="6" w:space="0" w:color="auto"/>
            </w:tcBorders>
            <w:shd w:val="clear" w:color="auto" w:fill="FFFFFF"/>
          </w:tcPr>
          <w:p w14:paraId="2BFDD6FF" w14:textId="77777777">
            <w:pPr>
              <w:widowControl w:val="0"/>
              <w:shd w:val="clear" w:color="auto" w:fill="FFFFFF"/>
              <w:rPr>
                <w:sz w:val="20"/>
              </w:rPr>
            </w:pPr>
            <w:r>
              <w:rPr>
                <w:bCs/>
                <w:sz w:val="20"/>
              </w:rPr>
              <w:t>SO</w:t>
            </w:r>
            <w:r>
              <w:rPr>
                <w:bCs/>
                <w:sz w:val="20"/>
                <w:vertAlign w:val="subscript"/>
              </w:rPr>
              <w:t>2</w:t>
            </w:r>
          </w:p>
          <w:p w14:paraId="2BFDD700" w14:textId="77777777">
            <w:pPr>
              <w:widowControl w:val="0"/>
              <w:shd w:val="clear" w:color="auto" w:fill="FFFFFF"/>
              <w:rPr>
                <w:sz w:val="20"/>
              </w:rPr>
            </w:pPr>
            <w:r>
              <w:rPr>
                <w:sz w:val="20"/>
              </w:rPr>
              <w:t>įprastinis atvejis</w:t>
            </w:r>
          </w:p>
        </w:tc>
        <w:tc>
          <w:tcPr>
            <w:tcW w:w="1363" w:type="dxa"/>
            <w:tcBorders>
              <w:top w:val="single" w:sz="6" w:space="0" w:color="auto"/>
              <w:left w:val="single" w:sz="6" w:space="0" w:color="auto"/>
              <w:bottom w:val="nil"/>
              <w:right w:val="single" w:sz="6" w:space="0" w:color="auto"/>
            </w:tcBorders>
            <w:shd w:val="clear" w:color="auto" w:fill="FFFFFF"/>
          </w:tcPr>
          <w:p w14:paraId="2BFDD701" w14:textId="77777777">
            <w:pPr>
              <w:widowControl w:val="0"/>
              <w:shd w:val="clear" w:color="auto" w:fill="FFFFFF"/>
              <w:rPr>
                <w:sz w:val="20"/>
              </w:rPr>
            </w:pPr>
          </w:p>
        </w:tc>
        <w:tc>
          <w:tcPr>
            <w:tcW w:w="1877" w:type="dxa"/>
            <w:tcBorders>
              <w:top w:val="single" w:sz="6" w:space="0" w:color="auto"/>
              <w:left w:val="single" w:sz="6" w:space="0" w:color="auto"/>
              <w:bottom w:val="nil"/>
              <w:right w:val="single" w:sz="6" w:space="0" w:color="auto"/>
            </w:tcBorders>
            <w:shd w:val="clear" w:color="auto" w:fill="FFFFFF"/>
          </w:tcPr>
          <w:p w14:paraId="2BFDD702" w14:textId="77777777">
            <w:pPr>
              <w:widowControl w:val="0"/>
              <w:shd w:val="clear" w:color="auto" w:fill="FFFFFF"/>
              <w:rPr>
                <w:sz w:val="20"/>
              </w:rPr>
            </w:pPr>
            <w:r>
              <w:rPr>
                <w:sz w:val="20"/>
              </w:rPr>
              <w:t>850</w:t>
            </w:r>
          </w:p>
        </w:tc>
        <w:tc>
          <w:tcPr>
            <w:tcW w:w="2861" w:type="dxa"/>
            <w:tcBorders>
              <w:top w:val="single" w:sz="6" w:space="0" w:color="auto"/>
              <w:left w:val="single" w:sz="6" w:space="0" w:color="auto"/>
              <w:bottom w:val="nil"/>
              <w:right w:val="single" w:sz="6" w:space="0" w:color="auto"/>
            </w:tcBorders>
            <w:shd w:val="clear" w:color="auto" w:fill="FFFFFF"/>
          </w:tcPr>
          <w:p w14:paraId="2BFDD703" w14:textId="77777777">
            <w:pPr>
              <w:widowControl w:val="0"/>
              <w:shd w:val="clear" w:color="auto" w:fill="FFFFFF"/>
              <w:rPr>
                <w:sz w:val="20"/>
              </w:rPr>
            </w:pPr>
            <w:r>
              <w:rPr>
                <w:sz w:val="20"/>
              </w:rPr>
              <w:t>Nuo 850 iki 200 (tiesiogiai proporcingas mažėjimas didėjant galingumui nuo 100 iki 300 MWth)</w:t>
            </w:r>
          </w:p>
        </w:tc>
        <w:tc>
          <w:tcPr>
            <w:tcW w:w="1819" w:type="dxa"/>
            <w:tcBorders>
              <w:top w:val="single" w:sz="6" w:space="0" w:color="auto"/>
              <w:left w:val="single" w:sz="6" w:space="0" w:color="auto"/>
              <w:bottom w:val="nil"/>
              <w:right w:val="nil"/>
            </w:tcBorders>
            <w:shd w:val="clear" w:color="auto" w:fill="FFFFFF"/>
          </w:tcPr>
          <w:p w14:paraId="2BFDD704" w14:textId="77777777">
            <w:pPr>
              <w:widowControl w:val="0"/>
              <w:shd w:val="clear" w:color="auto" w:fill="FFFFFF"/>
              <w:rPr>
                <w:sz w:val="20"/>
              </w:rPr>
            </w:pPr>
            <w:r>
              <w:rPr>
                <w:sz w:val="20"/>
              </w:rPr>
              <w:t>200</w:t>
            </w:r>
          </w:p>
        </w:tc>
      </w:tr>
      <w:tr w14:paraId="2BFDD70B" w14:textId="77777777">
        <w:trPr>
          <w:cantSplit/>
          <w:trHeight w:val="23"/>
        </w:trPr>
        <w:tc>
          <w:tcPr>
            <w:tcW w:w="1320" w:type="dxa"/>
            <w:tcBorders>
              <w:top w:val="nil"/>
              <w:left w:val="nil"/>
              <w:bottom w:val="single" w:sz="6" w:space="0" w:color="auto"/>
              <w:right w:val="single" w:sz="6" w:space="0" w:color="auto"/>
            </w:tcBorders>
            <w:shd w:val="clear" w:color="auto" w:fill="FFFFFF"/>
          </w:tcPr>
          <w:p w14:paraId="2BFDD706" w14:textId="77777777">
            <w:pPr>
              <w:widowControl w:val="0"/>
              <w:shd w:val="clear" w:color="auto" w:fill="FFFFFF"/>
              <w:rPr>
                <w:sz w:val="20"/>
              </w:rPr>
            </w:pPr>
            <w:r>
              <w:rPr>
                <w:sz w:val="20"/>
              </w:rPr>
              <w:t>vietinis kuras</w:t>
            </w:r>
          </w:p>
        </w:tc>
        <w:tc>
          <w:tcPr>
            <w:tcW w:w="1363" w:type="dxa"/>
            <w:tcBorders>
              <w:top w:val="nil"/>
              <w:left w:val="single" w:sz="6" w:space="0" w:color="auto"/>
              <w:bottom w:val="single" w:sz="6" w:space="0" w:color="auto"/>
              <w:right w:val="single" w:sz="6" w:space="0" w:color="auto"/>
            </w:tcBorders>
            <w:shd w:val="clear" w:color="auto" w:fill="FFFFFF"/>
          </w:tcPr>
          <w:p w14:paraId="2BFDD707" w14:textId="77777777">
            <w:pPr>
              <w:widowControl w:val="0"/>
              <w:shd w:val="clear" w:color="auto" w:fill="FFFFFF"/>
              <w:rPr>
                <w:sz w:val="20"/>
              </w:rPr>
            </w:pPr>
          </w:p>
        </w:tc>
        <w:tc>
          <w:tcPr>
            <w:tcW w:w="1877" w:type="dxa"/>
            <w:tcBorders>
              <w:top w:val="nil"/>
              <w:left w:val="single" w:sz="6" w:space="0" w:color="auto"/>
              <w:bottom w:val="single" w:sz="6" w:space="0" w:color="auto"/>
              <w:right w:val="single" w:sz="6" w:space="0" w:color="auto"/>
            </w:tcBorders>
            <w:shd w:val="clear" w:color="auto" w:fill="FFFFFF"/>
          </w:tcPr>
          <w:p w14:paraId="2BFDD708" w14:textId="77777777">
            <w:pPr>
              <w:widowControl w:val="0"/>
              <w:shd w:val="clear" w:color="auto" w:fill="FFFFFF"/>
              <w:rPr>
                <w:sz w:val="20"/>
              </w:rPr>
            </w:pPr>
            <w:r>
              <w:rPr>
                <w:sz w:val="20"/>
              </w:rPr>
              <w:t>arba nusierinimo laipsnis ≥ 90%</w:t>
            </w:r>
          </w:p>
        </w:tc>
        <w:tc>
          <w:tcPr>
            <w:tcW w:w="2861" w:type="dxa"/>
            <w:tcBorders>
              <w:top w:val="nil"/>
              <w:left w:val="single" w:sz="6" w:space="0" w:color="auto"/>
              <w:bottom w:val="single" w:sz="6" w:space="0" w:color="auto"/>
              <w:right w:val="single" w:sz="6" w:space="0" w:color="auto"/>
            </w:tcBorders>
            <w:shd w:val="clear" w:color="auto" w:fill="FFFFFF"/>
          </w:tcPr>
          <w:p w14:paraId="2BFDD709" w14:textId="77777777">
            <w:pPr>
              <w:widowControl w:val="0"/>
              <w:shd w:val="clear" w:color="auto" w:fill="FFFFFF"/>
              <w:rPr>
                <w:sz w:val="20"/>
              </w:rPr>
            </w:pPr>
            <w:r>
              <w:rPr>
                <w:sz w:val="20"/>
              </w:rPr>
              <w:t>arba nusierinimo laipsnis ≥ 92%</w:t>
            </w:r>
          </w:p>
        </w:tc>
        <w:tc>
          <w:tcPr>
            <w:tcW w:w="1819" w:type="dxa"/>
            <w:tcBorders>
              <w:top w:val="nil"/>
              <w:left w:val="single" w:sz="6" w:space="0" w:color="auto"/>
              <w:bottom w:val="single" w:sz="6" w:space="0" w:color="auto"/>
              <w:right w:val="nil"/>
            </w:tcBorders>
            <w:shd w:val="clear" w:color="auto" w:fill="FFFFFF"/>
          </w:tcPr>
          <w:p w14:paraId="2BFDD70A" w14:textId="77777777">
            <w:pPr>
              <w:widowControl w:val="0"/>
              <w:shd w:val="clear" w:color="auto" w:fill="FFFFFF"/>
              <w:rPr>
                <w:sz w:val="20"/>
              </w:rPr>
            </w:pPr>
            <w:r>
              <w:rPr>
                <w:sz w:val="20"/>
              </w:rPr>
              <w:t>arba nusierinimo laipsnis ≥ 95%</w:t>
            </w:r>
          </w:p>
        </w:tc>
      </w:tr>
      <w:tr w14:paraId="2BFDD711" w14:textId="77777777">
        <w:trPr>
          <w:cantSplit/>
          <w:trHeight w:val="23"/>
        </w:trPr>
        <w:tc>
          <w:tcPr>
            <w:tcW w:w="1320" w:type="dxa"/>
            <w:tcBorders>
              <w:top w:val="single" w:sz="6" w:space="0" w:color="auto"/>
              <w:left w:val="nil"/>
              <w:bottom w:val="single" w:sz="6" w:space="0" w:color="auto"/>
              <w:right w:val="single" w:sz="6" w:space="0" w:color="auto"/>
            </w:tcBorders>
            <w:shd w:val="clear" w:color="auto" w:fill="FFFFFF"/>
          </w:tcPr>
          <w:p w14:paraId="2BFDD70C" w14:textId="77777777">
            <w:pPr>
              <w:widowControl w:val="0"/>
              <w:shd w:val="clear" w:color="auto" w:fill="FFFFFF"/>
              <w:rPr>
                <w:sz w:val="20"/>
              </w:rPr>
            </w:pPr>
            <w:r>
              <w:rPr>
                <w:sz w:val="20"/>
              </w:rPr>
              <w:t>NO</w:t>
            </w:r>
            <w:r>
              <w:rPr>
                <w:sz w:val="20"/>
                <w:vertAlign w:val="subscript"/>
              </w:rPr>
              <w:t>x</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BFDD70D" w14:textId="77777777">
            <w:pPr>
              <w:widowControl w:val="0"/>
              <w:shd w:val="clear" w:color="auto" w:fill="FFFFFF"/>
              <w:rPr>
                <w:sz w:val="20"/>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2BFDD70E" w14:textId="77777777">
            <w:pPr>
              <w:widowControl w:val="0"/>
              <w:shd w:val="clear" w:color="auto" w:fill="FFFFFF"/>
              <w:rPr>
                <w:sz w:val="20"/>
              </w:rPr>
            </w:pPr>
            <w:r>
              <w:rPr>
                <w:sz w:val="20"/>
              </w:rPr>
              <w:t>400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14:paraId="2BFDD70F" w14:textId="77777777">
            <w:pPr>
              <w:widowControl w:val="0"/>
              <w:shd w:val="clear" w:color="auto" w:fill="FFFFFF"/>
              <w:rPr>
                <w:sz w:val="20"/>
              </w:rPr>
            </w:pPr>
            <w:r>
              <w:rPr>
                <w:sz w:val="20"/>
              </w:rPr>
              <w:t>300</w:t>
            </w:r>
          </w:p>
        </w:tc>
        <w:tc>
          <w:tcPr>
            <w:tcW w:w="1819" w:type="dxa"/>
            <w:tcBorders>
              <w:top w:val="single" w:sz="6" w:space="0" w:color="auto"/>
              <w:left w:val="single" w:sz="6" w:space="0" w:color="auto"/>
              <w:bottom w:val="single" w:sz="6" w:space="0" w:color="auto"/>
              <w:right w:val="nil"/>
            </w:tcBorders>
            <w:shd w:val="clear" w:color="auto" w:fill="FFFFFF"/>
          </w:tcPr>
          <w:p w14:paraId="2BFDD710" w14:textId="77777777">
            <w:pPr>
              <w:widowControl w:val="0"/>
              <w:shd w:val="clear" w:color="auto" w:fill="FFFFFF"/>
              <w:rPr>
                <w:sz w:val="20"/>
              </w:rPr>
            </w:pPr>
            <w:r>
              <w:rPr>
                <w:sz w:val="20"/>
              </w:rPr>
              <w:t>200</w:t>
            </w:r>
          </w:p>
        </w:tc>
      </w:tr>
      <w:tr w14:paraId="2BFDD717" w14:textId="77777777">
        <w:trPr>
          <w:cantSplit/>
          <w:trHeight w:val="23"/>
        </w:trPr>
        <w:tc>
          <w:tcPr>
            <w:tcW w:w="1320" w:type="dxa"/>
            <w:tcBorders>
              <w:top w:val="nil"/>
              <w:left w:val="nil"/>
              <w:bottom w:val="single" w:sz="6" w:space="0" w:color="auto"/>
              <w:right w:val="single" w:sz="6" w:space="0" w:color="auto"/>
            </w:tcBorders>
            <w:shd w:val="clear" w:color="auto" w:fill="FFFFFF"/>
          </w:tcPr>
          <w:p w14:paraId="2BFDD712" w14:textId="77777777">
            <w:pPr>
              <w:widowControl w:val="0"/>
              <w:shd w:val="clear" w:color="auto" w:fill="FFFFFF"/>
              <w:rPr>
                <w:sz w:val="20"/>
              </w:rPr>
            </w:pPr>
            <w:r>
              <w:rPr>
                <w:sz w:val="20"/>
              </w:rPr>
              <w:t>Dulkės</w:t>
            </w:r>
          </w:p>
        </w:tc>
        <w:tc>
          <w:tcPr>
            <w:tcW w:w="1363" w:type="dxa"/>
            <w:tcBorders>
              <w:top w:val="nil"/>
              <w:left w:val="single" w:sz="6" w:space="0" w:color="auto"/>
              <w:bottom w:val="single" w:sz="6" w:space="0" w:color="auto"/>
              <w:right w:val="single" w:sz="6" w:space="0" w:color="auto"/>
            </w:tcBorders>
            <w:shd w:val="clear" w:color="auto" w:fill="FFFFFF"/>
          </w:tcPr>
          <w:p w14:paraId="2BFDD713" w14:textId="77777777">
            <w:pPr>
              <w:widowControl w:val="0"/>
              <w:shd w:val="clear" w:color="auto" w:fill="FFFFFF"/>
              <w:rPr>
                <w:sz w:val="20"/>
              </w:rPr>
            </w:pPr>
            <w:r>
              <w:rPr>
                <w:sz w:val="20"/>
              </w:rPr>
              <w:t>50</w:t>
            </w:r>
          </w:p>
        </w:tc>
        <w:tc>
          <w:tcPr>
            <w:tcW w:w="1877" w:type="dxa"/>
            <w:tcBorders>
              <w:top w:val="nil"/>
              <w:left w:val="single" w:sz="6" w:space="0" w:color="auto"/>
              <w:bottom w:val="single" w:sz="6" w:space="0" w:color="auto"/>
              <w:right w:val="single" w:sz="6" w:space="0" w:color="auto"/>
            </w:tcBorders>
            <w:shd w:val="clear" w:color="auto" w:fill="FFFFFF"/>
          </w:tcPr>
          <w:p w14:paraId="2BFDD714" w14:textId="77777777">
            <w:pPr>
              <w:widowControl w:val="0"/>
              <w:shd w:val="clear" w:color="auto" w:fill="FFFFFF"/>
              <w:rPr>
                <w:sz w:val="20"/>
              </w:rPr>
            </w:pPr>
            <w:r>
              <w:rPr>
                <w:sz w:val="20"/>
              </w:rPr>
              <w:t>50</w:t>
            </w:r>
          </w:p>
        </w:tc>
        <w:tc>
          <w:tcPr>
            <w:tcW w:w="2861" w:type="dxa"/>
            <w:tcBorders>
              <w:top w:val="nil"/>
              <w:left w:val="single" w:sz="6" w:space="0" w:color="auto"/>
              <w:bottom w:val="single" w:sz="6" w:space="0" w:color="auto"/>
              <w:right w:val="single" w:sz="6" w:space="0" w:color="auto"/>
            </w:tcBorders>
            <w:shd w:val="clear" w:color="auto" w:fill="FFFFFF"/>
          </w:tcPr>
          <w:p w14:paraId="2BFDD715" w14:textId="77777777">
            <w:pPr>
              <w:widowControl w:val="0"/>
              <w:shd w:val="clear" w:color="auto" w:fill="FFFFFF"/>
              <w:rPr>
                <w:sz w:val="20"/>
              </w:rPr>
            </w:pPr>
            <w:r>
              <w:rPr>
                <w:sz w:val="20"/>
              </w:rPr>
              <w:t>30</w:t>
            </w:r>
          </w:p>
        </w:tc>
        <w:tc>
          <w:tcPr>
            <w:tcW w:w="1819" w:type="dxa"/>
            <w:tcBorders>
              <w:top w:val="nil"/>
              <w:left w:val="single" w:sz="6" w:space="0" w:color="auto"/>
              <w:bottom w:val="single" w:sz="6" w:space="0" w:color="auto"/>
              <w:right w:val="nil"/>
            </w:tcBorders>
            <w:shd w:val="clear" w:color="auto" w:fill="FFFFFF"/>
          </w:tcPr>
          <w:p w14:paraId="2BFDD716" w14:textId="77777777">
            <w:pPr>
              <w:widowControl w:val="0"/>
              <w:shd w:val="clear" w:color="auto" w:fill="FFFFFF"/>
              <w:rPr>
                <w:sz w:val="20"/>
              </w:rPr>
            </w:pPr>
            <w:r>
              <w:rPr>
                <w:sz w:val="20"/>
              </w:rPr>
              <w:t>30“.</w:t>
            </w:r>
          </w:p>
        </w:tc>
      </w:tr>
    </w:tbl>
    <w:p w14:paraId="2BFDD718" w14:textId="069B53AE">
      <w:pPr>
        <w:ind w:firstLine="709"/>
        <w:jc w:val="right"/>
      </w:pPr>
    </w:p>
    <w:p w14:paraId="2BFDD719" w14:textId="609C8741">
      <w:pPr>
        <w:widowControl w:val="0"/>
        <w:shd w:val="clear" w:color="auto" w:fill="FFFFFF"/>
        <w:ind w:firstLine="709"/>
        <w:jc w:val="both"/>
      </w:pPr>
      <w:r>
        <w:t>18</w:t>
      </w:r>
      <w:r>
        <w:t>. Išdėstau nurodytų reikalavimų 2 priedo 3 dalies 3.5 punktą taip:</w:t>
      </w:r>
    </w:p>
    <w:p w14:paraId="2BFDD71A" w14:textId="5765D29F">
      <w:pPr>
        <w:widowControl w:val="0"/>
        <w:shd w:val="clear" w:color="auto" w:fill="FFFFFF"/>
        <w:ind w:firstLine="709"/>
        <w:jc w:val="both"/>
      </w:pPr>
      <w:r>
        <w:t>„3.5. Įrenginiams, deginantiems biomasę (produktai, susidedantys iš bet kurios žemės ūkio arba miškininkystės sektoriaus augalinės kilmės medžiagos, taip pat atliekos, išvardytos šių Reikalavimų 4.1.1–4.1.5 punktuose), taikomos šios vidutinės paros išmetamųjų teršalų ribinės vertės (C</w:t>
      </w:r>
      <w:r>
        <w:rPr>
          <w:vertAlign w:val="subscript"/>
        </w:rPr>
        <w:t>PR0C</w:t>
      </w:r>
      <w:r>
        <w:t xml:space="preserve"> išreikšta mg/Nm</w:t>
      </w:r>
      <w:r>
        <w:rPr>
          <w:vertAlign w:val="superscript"/>
        </w:rPr>
        <w:t>3</w:t>
      </w:r>
      <w:r>
        <w:t>; standartinis O</w:t>
      </w:r>
      <w:r>
        <w:rPr>
          <w:vertAlign w:val="subscript"/>
        </w:rPr>
        <w:t>2</w:t>
      </w:r>
      <w:r>
        <w:t xml:space="preserve"> kiekis – 6 %):</w:t>
      </w:r>
    </w:p>
    <w:p w14:paraId="2BFDD71B"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1522"/>
        <w:gridCol w:w="1482"/>
        <w:gridCol w:w="2498"/>
        <w:gridCol w:w="2633"/>
        <w:gridCol w:w="1502"/>
      </w:tblGrid>
      <w:tr w14:paraId="2BFDD721" w14:textId="77777777">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14:paraId="2BFDD71C" w14:textId="77777777">
            <w:pPr>
              <w:widowControl w:val="0"/>
              <w:shd w:val="clear" w:color="auto" w:fill="FFFFFF"/>
              <w:rPr>
                <w:sz w:val="20"/>
              </w:rPr>
            </w:pPr>
            <w:r>
              <w:rPr>
                <w:b/>
                <w:bCs/>
                <w:sz w:val="20"/>
              </w:rPr>
              <w:t>Teršalai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2BFDD71D" w14:textId="77777777">
            <w:pPr>
              <w:widowControl w:val="0"/>
              <w:shd w:val="clear" w:color="auto" w:fill="FFFFFF"/>
              <w:rPr>
                <w:sz w:val="20"/>
              </w:rPr>
            </w:pPr>
            <w:r>
              <w:rPr>
                <w:b/>
                <w:bCs/>
                <w:sz w:val="20"/>
              </w:rPr>
              <w:t>&lt; 50 MWth</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14:paraId="2BFDD71E" w14:textId="77777777">
            <w:pPr>
              <w:widowControl w:val="0"/>
              <w:shd w:val="clear" w:color="auto" w:fill="FFFFFF"/>
              <w:rPr>
                <w:sz w:val="20"/>
              </w:rPr>
            </w:pPr>
            <w:r>
              <w:rPr>
                <w:b/>
                <w:bCs/>
                <w:sz w:val="20"/>
              </w:rPr>
              <w:t>Nuo 50 iki l00 MWth</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14:paraId="2BFDD71F" w14:textId="77777777">
            <w:pPr>
              <w:widowControl w:val="0"/>
              <w:shd w:val="clear" w:color="auto" w:fill="FFFFFF"/>
              <w:rPr>
                <w:sz w:val="20"/>
              </w:rPr>
            </w:pPr>
            <w:r>
              <w:rPr>
                <w:b/>
                <w:bCs/>
                <w:sz w:val="20"/>
              </w:rPr>
              <w:t>Nuo 100 iki 300 MWth</w:t>
            </w:r>
          </w:p>
        </w:tc>
        <w:tc>
          <w:tcPr>
            <w:tcW w:w="1440" w:type="dxa"/>
            <w:tcBorders>
              <w:top w:val="single" w:sz="6" w:space="0" w:color="auto"/>
              <w:left w:val="single" w:sz="6" w:space="0" w:color="auto"/>
              <w:bottom w:val="single" w:sz="6" w:space="0" w:color="auto"/>
              <w:right w:val="nil"/>
            </w:tcBorders>
            <w:shd w:val="clear" w:color="auto" w:fill="FFFFFF"/>
          </w:tcPr>
          <w:p w14:paraId="2BFDD720" w14:textId="77777777">
            <w:pPr>
              <w:widowControl w:val="0"/>
              <w:shd w:val="clear" w:color="auto" w:fill="FFFFFF"/>
              <w:rPr>
                <w:sz w:val="20"/>
              </w:rPr>
            </w:pPr>
            <w:r>
              <w:rPr>
                <w:b/>
                <w:bCs/>
                <w:sz w:val="20"/>
              </w:rPr>
              <w:t>&gt; 300 MWth</w:t>
            </w:r>
          </w:p>
        </w:tc>
      </w:tr>
      <w:tr w14:paraId="2BFDD727" w14:textId="77777777">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14:paraId="2BFDD722" w14:textId="77777777">
            <w:pPr>
              <w:widowControl w:val="0"/>
              <w:shd w:val="clear" w:color="auto" w:fill="FFFFFF"/>
              <w:rPr>
                <w:sz w:val="20"/>
              </w:rPr>
            </w:pPr>
            <w:r>
              <w:rPr>
                <w:sz w:val="20"/>
              </w:rPr>
              <w:t>SO</w:t>
            </w:r>
            <w:r>
              <w:rPr>
                <w:sz w:val="20"/>
                <w:vertAlign w:val="subscript"/>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2BFDD723" w14:textId="77777777">
            <w:pPr>
              <w:widowControl w:val="0"/>
              <w:shd w:val="clear" w:color="auto" w:fill="FFFFFF"/>
              <w:rPr>
                <w:sz w:val="20"/>
              </w:rPr>
            </w:pPr>
            <w:r>
              <w:rPr>
                <w:bCs/>
                <w:sz w:val="20"/>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14:paraId="2BFDD724" w14:textId="77777777">
            <w:pPr>
              <w:widowControl w:val="0"/>
              <w:shd w:val="clear" w:color="auto" w:fill="FFFFFF"/>
              <w:rPr>
                <w:sz w:val="20"/>
              </w:rPr>
            </w:pPr>
            <w:r>
              <w:rPr>
                <w:sz w:val="20"/>
              </w:rPr>
              <w:t>200</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14:paraId="2BFDD725" w14:textId="77777777">
            <w:pPr>
              <w:widowControl w:val="0"/>
              <w:shd w:val="clear" w:color="auto" w:fill="FFFFFF"/>
              <w:rPr>
                <w:sz w:val="20"/>
              </w:rPr>
            </w:pPr>
            <w:r>
              <w:rPr>
                <w:sz w:val="20"/>
              </w:rPr>
              <w:t>200</w:t>
            </w:r>
          </w:p>
        </w:tc>
        <w:tc>
          <w:tcPr>
            <w:tcW w:w="1440" w:type="dxa"/>
            <w:tcBorders>
              <w:top w:val="single" w:sz="6" w:space="0" w:color="auto"/>
              <w:left w:val="single" w:sz="6" w:space="0" w:color="auto"/>
              <w:bottom w:val="single" w:sz="6" w:space="0" w:color="auto"/>
              <w:right w:val="nil"/>
            </w:tcBorders>
            <w:shd w:val="clear" w:color="auto" w:fill="FFFFFF"/>
          </w:tcPr>
          <w:p w14:paraId="2BFDD726" w14:textId="77777777">
            <w:pPr>
              <w:widowControl w:val="0"/>
              <w:shd w:val="clear" w:color="auto" w:fill="FFFFFF"/>
              <w:rPr>
                <w:sz w:val="20"/>
              </w:rPr>
            </w:pPr>
            <w:r>
              <w:rPr>
                <w:sz w:val="20"/>
              </w:rPr>
              <w:t>200</w:t>
            </w:r>
          </w:p>
        </w:tc>
      </w:tr>
      <w:tr w14:paraId="2BFDD72D" w14:textId="77777777">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14:paraId="2BFDD728" w14:textId="77777777">
            <w:pPr>
              <w:widowControl w:val="0"/>
              <w:shd w:val="clear" w:color="auto" w:fill="FFFFFF"/>
              <w:rPr>
                <w:sz w:val="20"/>
              </w:rPr>
            </w:pPr>
            <w:r>
              <w:rPr>
                <w:sz w:val="20"/>
              </w:rPr>
              <w:t>NO</w:t>
            </w:r>
            <w:r>
              <w:rPr>
                <w:sz w:val="20"/>
                <w:vertAlign w:val="subscript"/>
              </w:rPr>
              <w:t>x</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2BFDD729" w14:textId="77777777">
            <w:pPr>
              <w:widowControl w:val="0"/>
              <w:shd w:val="clear" w:color="auto" w:fill="FFFFFF"/>
              <w:rPr>
                <w:sz w:val="20"/>
              </w:rPr>
            </w:pPr>
            <w:r>
              <w:rPr>
                <w:bCs/>
                <w:sz w:val="20"/>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14:paraId="2BFDD72A" w14:textId="77777777">
            <w:pPr>
              <w:widowControl w:val="0"/>
              <w:shd w:val="clear" w:color="auto" w:fill="FFFFFF"/>
              <w:rPr>
                <w:sz w:val="20"/>
              </w:rPr>
            </w:pPr>
            <w:r>
              <w:rPr>
                <w:sz w:val="20"/>
              </w:rPr>
              <w:t>350</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14:paraId="2BFDD72B" w14:textId="77777777">
            <w:pPr>
              <w:widowControl w:val="0"/>
              <w:shd w:val="clear" w:color="auto" w:fill="FFFFFF"/>
              <w:rPr>
                <w:sz w:val="20"/>
              </w:rPr>
            </w:pPr>
            <w:r>
              <w:rPr>
                <w:sz w:val="20"/>
              </w:rPr>
              <w:t>300</w:t>
            </w:r>
          </w:p>
        </w:tc>
        <w:tc>
          <w:tcPr>
            <w:tcW w:w="1440" w:type="dxa"/>
            <w:tcBorders>
              <w:top w:val="single" w:sz="6" w:space="0" w:color="auto"/>
              <w:left w:val="single" w:sz="6" w:space="0" w:color="auto"/>
              <w:bottom w:val="single" w:sz="6" w:space="0" w:color="auto"/>
              <w:right w:val="nil"/>
            </w:tcBorders>
            <w:shd w:val="clear" w:color="auto" w:fill="FFFFFF"/>
          </w:tcPr>
          <w:p w14:paraId="2BFDD72C" w14:textId="77777777">
            <w:pPr>
              <w:widowControl w:val="0"/>
              <w:shd w:val="clear" w:color="auto" w:fill="FFFFFF"/>
              <w:rPr>
                <w:sz w:val="20"/>
              </w:rPr>
            </w:pPr>
            <w:r>
              <w:rPr>
                <w:sz w:val="20"/>
              </w:rPr>
              <w:t>300</w:t>
            </w:r>
          </w:p>
        </w:tc>
      </w:tr>
      <w:tr w14:paraId="2BFDD733" w14:textId="77777777">
        <w:trPr>
          <w:cantSplit/>
          <w:trHeight w:val="23"/>
        </w:trPr>
        <w:tc>
          <w:tcPr>
            <w:tcW w:w="1459" w:type="dxa"/>
            <w:tcBorders>
              <w:top w:val="single" w:sz="6" w:space="0" w:color="auto"/>
              <w:left w:val="nil"/>
              <w:bottom w:val="single" w:sz="6" w:space="0" w:color="auto"/>
              <w:right w:val="single" w:sz="6" w:space="0" w:color="auto"/>
            </w:tcBorders>
            <w:shd w:val="clear" w:color="auto" w:fill="FFFFFF"/>
          </w:tcPr>
          <w:p w14:paraId="2BFDD72E" w14:textId="77777777">
            <w:pPr>
              <w:widowControl w:val="0"/>
              <w:shd w:val="clear" w:color="auto" w:fill="FFFFFF"/>
              <w:rPr>
                <w:sz w:val="20"/>
              </w:rPr>
            </w:pPr>
            <w:r>
              <w:rPr>
                <w:sz w:val="20"/>
              </w:rPr>
              <w:t>Dulkės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2BFDD72F" w14:textId="77777777">
            <w:pPr>
              <w:widowControl w:val="0"/>
              <w:shd w:val="clear" w:color="auto" w:fill="FFFFFF"/>
              <w:rPr>
                <w:sz w:val="20"/>
              </w:rPr>
            </w:pPr>
            <w:r>
              <w:rPr>
                <w:bCs/>
                <w:sz w:val="20"/>
              </w:rPr>
              <w:t>50</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14:paraId="2BFDD730" w14:textId="77777777">
            <w:pPr>
              <w:widowControl w:val="0"/>
              <w:shd w:val="clear" w:color="auto" w:fill="FFFFFF"/>
              <w:rPr>
                <w:sz w:val="20"/>
              </w:rPr>
            </w:pPr>
            <w:r>
              <w:rPr>
                <w:bCs/>
                <w:sz w:val="20"/>
              </w:rPr>
              <w:t>50</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14:paraId="2BFDD731" w14:textId="77777777">
            <w:pPr>
              <w:widowControl w:val="0"/>
              <w:shd w:val="clear" w:color="auto" w:fill="FFFFFF"/>
              <w:rPr>
                <w:sz w:val="20"/>
              </w:rPr>
            </w:pPr>
            <w:r>
              <w:rPr>
                <w:sz w:val="20"/>
              </w:rPr>
              <w:t>30</w:t>
            </w:r>
          </w:p>
        </w:tc>
        <w:tc>
          <w:tcPr>
            <w:tcW w:w="1440" w:type="dxa"/>
            <w:tcBorders>
              <w:top w:val="single" w:sz="6" w:space="0" w:color="auto"/>
              <w:left w:val="single" w:sz="6" w:space="0" w:color="auto"/>
              <w:bottom w:val="single" w:sz="6" w:space="0" w:color="auto"/>
              <w:right w:val="nil"/>
            </w:tcBorders>
            <w:shd w:val="clear" w:color="auto" w:fill="FFFFFF"/>
          </w:tcPr>
          <w:p w14:paraId="2BFDD732" w14:textId="77777777">
            <w:pPr>
              <w:widowControl w:val="0"/>
              <w:shd w:val="clear" w:color="auto" w:fill="FFFFFF"/>
              <w:rPr>
                <w:sz w:val="20"/>
              </w:rPr>
            </w:pPr>
            <w:r>
              <w:rPr>
                <w:sz w:val="20"/>
              </w:rPr>
              <w:t>30</w:t>
            </w:r>
          </w:p>
        </w:tc>
      </w:tr>
    </w:tbl>
    <w:p w14:paraId="2BFDD734" w14:textId="22B98A7C">
      <w:pPr>
        <w:ind w:firstLine="709"/>
      </w:pPr>
    </w:p>
    <w:p w14:paraId="2BFDD736" w14:textId="24C390C8">
      <w:pPr>
        <w:widowControl w:val="0"/>
        <w:shd w:val="clear" w:color="auto" w:fill="FFFFFF"/>
        <w:ind w:firstLine="709"/>
        <w:jc w:val="both"/>
      </w:pPr>
      <w:r>
        <w:t xml:space="preserve">* Kaip nustatyta Išmetamųjų teršalų iš kurą deginančių įrenginių normose, patvirtintose LR aplinkos ministro 2001 m. rugsėjo 28 d. įsakymu Nr. 486 (Žin., 2001, Nr. </w:t>
      </w:r>
      <w:fldSimple w:instr="HYPERLINK https://www.e-tar.lt/portal/lt/legalAct/TAR.1F45AA1FF2D0 \t _blank">
        <w:r>
          <w:rPr>
            <w:color w:val="0000FF" w:themeColor="hyperlink"/>
            <w:u w:val="single"/>
          </w:rPr>
          <w:t>88-3100</w:t>
        </w:r>
      </w:fldSimple>
      <w:r>
        <w:t>)“.</w:t>
      </w:r>
    </w:p>
    <w:p w14:paraId="2BFDD737" w14:textId="77777777">
      <w:pPr>
        <w:widowControl w:val="0"/>
        <w:shd w:val="clear" w:color="auto" w:fill="FFFFFF"/>
        <w:ind w:firstLine="709"/>
        <w:jc w:val="both"/>
      </w:pPr>
      <w:r>
        <w:t>19</w:t>
      </w:r>
      <w:r>
        <w:t>. Išdėstau nurodytų reikalavimų 2 priedo 3 dalies 3.7 punktą taip:</w:t>
      </w:r>
    </w:p>
    <w:p w14:paraId="2BFDD738" w14:textId="7AC0BDC8">
      <w:pPr>
        <w:widowControl w:val="0"/>
        <w:shd w:val="clear" w:color="auto" w:fill="FFFFFF"/>
        <w:ind w:firstLine="709"/>
        <w:jc w:val="both"/>
      </w:pPr>
      <w:r>
        <w:t>„</w:t>
      </w:r>
      <w:r>
        <w:t>3.7</w:t>
      </w:r>
      <w:r>
        <w:t>. Įrenginiams, deginantiems skystąjį kurą, taikomos šios vidutinės paros išmetamųjų teršalų ribinės vertės (C</w:t>
      </w:r>
      <w:r>
        <w:rPr>
          <w:vertAlign w:val="subscript"/>
        </w:rPr>
        <w:t xml:space="preserve">PR0C </w:t>
      </w:r>
      <w:r>
        <w:t>išreikšta mg/Nm</w:t>
      </w:r>
      <w:r>
        <w:rPr>
          <w:vertAlign w:val="superscript"/>
        </w:rPr>
        <w:t>3</w:t>
      </w:r>
      <w:r>
        <w:t>; standartinis O</w:t>
      </w:r>
      <w:r>
        <w:rPr>
          <w:vertAlign w:val="subscript"/>
        </w:rPr>
        <w:t>2</w:t>
      </w:r>
      <w:r>
        <w:t xml:space="preserve"> kiekis – 3 %):</w:t>
      </w:r>
    </w:p>
    <w:p w14:paraId="2BFDD739"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1642"/>
        <w:gridCol w:w="1487"/>
        <w:gridCol w:w="1752"/>
        <w:gridCol w:w="3184"/>
        <w:gridCol w:w="1572"/>
      </w:tblGrid>
      <w:tr w14:paraId="2BFDD73F" w14:textId="77777777">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14:paraId="2BFDD73A" w14:textId="77777777">
            <w:pPr>
              <w:widowControl w:val="0"/>
              <w:shd w:val="clear" w:color="auto" w:fill="FFFFFF"/>
              <w:rPr>
                <w:sz w:val="20"/>
              </w:rPr>
            </w:pPr>
            <w:r>
              <w:rPr>
                <w:b/>
                <w:bCs/>
                <w:sz w:val="20"/>
              </w:rPr>
              <w:t>Teršalai</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2BFDD73B" w14:textId="77777777">
            <w:pPr>
              <w:widowControl w:val="0"/>
              <w:shd w:val="clear" w:color="auto" w:fill="FFFFFF"/>
              <w:rPr>
                <w:sz w:val="20"/>
              </w:rPr>
            </w:pPr>
            <w:r>
              <w:rPr>
                <w:b/>
                <w:bCs/>
                <w:sz w:val="20"/>
              </w:rPr>
              <w:t>&lt; 50 MWth</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BFDD73C" w14:textId="77777777">
            <w:pPr>
              <w:widowControl w:val="0"/>
              <w:shd w:val="clear" w:color="auto" w:fill="FFFFFF"/>
              <w:rPr>
                <w:sz w:val="20"/>
              </w:rPr>
            </w:pPr>
            <w:r>
              <w:rPr>
                <w:b/>
                <w:bCs/>
                <w:sz w:val="20"/>
              </w:rPr>
              <w:t>Nuo 50 iki l00 MWth</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14:paraId="2BFDD73D" w14:textId="77777777">
            <w:pPr>
              <w:widowControl w:val="0"/>
              <w:shd w:val="clear" w:color="auto" w:fill="FFFFFF"/>
              <w:rPr>
                <w:sz w:val="20"/>
              </w:rPr>
            </w:pPr>
            <w:r>
              <w:rPr>
                <w:b/>
                <w:bCs/>
                <w:sz w:val="20"/>
              </w:rPr>
              <w:t>Nuo 100 iki 300 MWth</w:t>
            </w:r>
          </w:p>
        </w:tc>
        <w:tc>
          <w:tcPr>
            <w:tcW w:w="1507" w:type="dxa"/>
            <w:tcBorders>
              <w:top w:val="single" w:sz="6" w:space="0" w:color="auto"/>
              <w:left w:val="single" w:sz="6" w:space="0" w:color="auto"/>
              <w:bottom w:val="single" w:sz="6" w:space="0" w:color="auto"/>
              <w:right w:val="nil"/>
            </w:tcBorders>
            <w:shd w:val="clear" w:color="auto" w:fill="FFFFFF"/>
          </w:tcPr>
          <w:p w14:paraId="2BFDD73E" w14:textId="77777777">
            <w:pPr>
              <w:widowControl w:val="0"/>
              <w:shd w:val="clear" w:color="auto" w:fill="FFFFFF"/>
              <w:rPr>
                <w:sz w:val="20"/>
              </w:rPr>
            </w:pPr>
            <w:r>
              <w:rPr>
                <w:b/>
                <w:bCs/>
                <w:sz w:val="20"/>
              </w:rPr>
              <w:t>&gt; 300 MWth</w:t>
            </w:r>
          </w:p>
        </w:tc>
      </w:tr>
      <w:tr w14:paraId="2BFDD745" w14:textId="77777777">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14:paraId="2BFDD740" w14:textId="77777777">
            <w:pPr>
              <w:widowControl w:val="0"/>
              <w:shd w:val="clear" w:color="auto" w:fill="FFFFFF"/>
              <w:rPr>
                <w:sz w:val="20"/>
              </w:rPr>
            </w:pPr>
            <w:r>
              <w:rPr>
                <w:bCs/>
                <w:sz w:val="20"/>
              </w:rPr>
              <w:t>SO</w:t>
            </w:r>
            <w:r>
              <w:rPr>
                <w:bCs/>
                <w:sz w:val="20"/>
                <w:vertAlign w:val="subscript"/>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2BFDD741" w14:textId="77777777">
            <w:pPr>
              <w:widowControl w:val="0"/>
              <w:shd w:val="clear" w:color="auto" w:fill="FFFFFF"/>
              <w:rPr>
                <w:sz w:val="20"/>
              </w:rPr>
            </w:pPr>
            <w:r>
              <w:rPr>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BFDD742" w14:textId="77777777">
            <w:pPr>
              <w:widowControl w:val="0"/>
              <w:shd w:val="clear" w:color="auto" w:fill="FFFFFF"/>
              <w:rPr>
                <w:sz w:val="20"/>
              </w:rPr>
            </w:pPr>
            <w:r>
              <w:rPr>
                <w:sz w:val="20"/>
              </w:rPr>
              <w:t>850</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14:paraId="2BFDD743" w14:textId="77777777">
            <w:pPr>
              <w:widowControl w:val="0"/>
              <w:shd w:val="clear" w:color="auto" w:fill="FFFFFF"/>
              <w:rPr>
                <w:sz w:val="20"/>
              </w:rPr>
            </w:pPr>
            <w:r>
              <w:rPr>
                <w:sz w:val="20"/>
              </w:rPr>
              <w:t>Nuo 850 iki 200 (tiesiogiai proporcingas mažėjimas didėjant galingumui nuo 100 iki 300 MWth)</w:t>
            </w:r>
          </w:p>
        </w:tc>
        <w:tc>
          <w:tcPr>
            <w:tcW w:w="1507" w:type="dxa"/>
            <w:tcBorders>
              <w:top w:val="single" w:sz="6" w:space="0" w:color="auto"/>
              <w:left w:val="single" w:sz="6" w:space="0" w:color="auto"/>
              <w:bottom w:val="single" w:sz="6" w:space="0" w:color="auto"/>
              <w:right w:val="nil"/>
            </w:tcBorders>
            <w:shd w:val="clear" w:color="auto" w:fill="FFFFFF"/>
          </w:tcPr>
          <w:p w14:paraId="2BFDD744" w14:textId="77777777">
            <w:pPr>
              <w:widowControl w:val="0"/>
              <w:shd w:val="clear" w:color="auto" w:fill="FFFFFF"/>
              <w:rPr>
                <w:sz w:val="20"/>
              </w:rPr>
            </w:pPr>
            <w:r>
              <w:rPr>
                <w:sz w:val="20"/>
              </w:rPr>
              <w:t>200</w:t>
            </w:r>
          </w:p>
        </w:tc>
      </w:tr>
      <w:tr w14:paraId="2BFDD74B" w14:textId="77777777">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14:paraId="2BFDD746" w14:textId="77777777">
            <w:pPr>
              <w:widowControl w:val="0"/>
              <w:shd w:val="clear" w:color="auto" w:fill="FFFFFF"/>
              <w:rPr>
                <w:sz w:val="20"/>
              </w:rPr>
            </w:pPr>
            <w:r>
              <w:rPr>
                <w:sz w:val="20"/>
              </w:rPr>
              <w:t>NO</w:t>
            </w:r>
            <w:r>
              <w:rPr>
                <w:sz w:val="20"/>
                <w:vertAlign w:val="subscript"/>
              </w:rPr>
              <w:t>x</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2BFDD747" w14:textId="77777777">
            <w:pPr>
              <w:widowControl w:val="0"/>
              <w:shd w:val="clear" w:color="auto" w:fill="FFFFFF"/>
              <w:rPr>
                <w:sz w:val="20"/>
              </w:rPr>
            </w:pPr>
            <w:r>
              <w:rPr>
                <w:bCs/>
                <w:sz w:val="20"/>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BFDD748" w14:textId="77777777">
            <w:pPr>
              <w:widowControl w:val="0"/>
              <w:shd w:val="clear" w:color="auto" w:fill="FFFFFF"/>
              <w:rPr>
                <w:sz w:val="20"/>
              </w:rPr>
            </w:pPr>
            <w:r>
              <w:rPr>
                <w:sz w:val="20"/>
              </w:rPr>
              <w:t>400</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14:paraId="2BFDD749" w14:textId="77777777">
            <w:pPr>
              <w:widowControl w:val="0"/>
              <w:shd w:val="clear" w:color="auto" w:fill="FFFFFF"/>
              <w:rPr>
                <w:sz w:val="20"/>
              </w:rPr>
            </w:pPr>
            <w:r>
              <w:rPr>
                <w:sz w:val="20"/>
              </w:rPr>
              <w:t>300</w:t>
            </w:r>
          </w:p>
        </w:tc>
        <w:tc>
          <w:tcPr>
            <w:tcW w:w="1507" w:type="dxa"/>
            <w:tcBorders>
              <w:top w:val="single" w:sz="6" w:space="0" w:color="auto"/>
              <w:left w:val="single" w:sz="6" w:space="0" w:color="auto"/>
              <w:bottom w:val="single" w:sz="6" w:space="0" w:color="auto"/>
              <w:right w:val="nil"/>
            </w:tcBorders>
            <w:shd w:val="clear" w:color="auto" w:fill="FFFFFF"/>
          </w:tcPr>
          <w:p w14:paraId="2BFDD74A" w14:textId="77777777">
            <w:pPr>
              <w:widowControl w:val="0"/>
              <w:shd w:val="clear" w:color="auto" w:fill="FFFFFF"/>
              <w:rPr>
                <w:sz w:val="20"/>
              </w:rPr>
            </w:pPr>
            <w:r>
              <w:rPr>
                <w:sz w:val="20"/>
              </w:rPr>
              <w:t>200</w:t>
            </w:r>
          </w:p>
        </w:tc>
      </w:tr>
      <w:tr w14:paraId="2BFDD751" w14:textId="77777777">
        <w:trPr>
          <w:cantSplit/>
          <w:trHeight w:val="23"/>
        </w:trPr>
        <w:tc>
          <w:tcPr>
            <w:tcW w:w="1574" w:type="dxa"/>
            <w:tcBorders>
              <w:top w:val="single" w:sz="6" w:space="0" w:color="auto"/>
              <w:left w:val="nil"/>
              <w:bottom w:val="single" w:sz="6" w:space="0" w:color="auto"/>
              <w:right w:val="single" w:sz="6" w:space="0" w:color="auto"/>
            </w:tcBorders>
            <w:shd w:val="clear" w:color="auto" w:fill="FFFFFF"/>
          </w:tcPr>
          <w:p w14:paraId="2BFDD74C" w14:textId="77777777">
            <w:pPr>
              <w:widowControl w:val="0"/>
              <w:shd w:val="clear" w:color="auto" w:fill="FFFFFF"/>
              <w:rPr>
                <w:sz w:val="20"/>
              </w:rPr>
            </w:pPr>
            <w:r>
              <w:rPr>
                <w:sz w:val="20"/>
              </w:rPr>
              <w:t>Dulkės</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14:paraId="2BFDD74D" w14:textId="77777777">
            <w:pPr>
              <w:widowControl w:val="0"/>
              <w:shd w:val="clear" w:color="auto" w:fill="FFFFFF"/>
              <w:rPr>
                <w:sz w:val="20"/>
              </w:rPr>
            </w:pPr>
            <w:r>
              <w:rPr>
                <w:bCs/>
                <w:sz w:val="20"/>
              </w:rPr>
              <w:t>50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BFDD74E" w14:textId="77777777">
            <w:pPr>
              <w:widowControl w:val="0"/>
              <w:shd w:val="clear" w:color="auto" w:fill="FFFFFF"/>
              <w:rPr>
                <w:sz w:val="20"/>
              </w:rPr>
            </w:pPr>
            <w:r>
              <w:rPr>
                <w:bCs/>
                <w:sz w:val="20"/>
              </w:rPr>
              <w:t>50</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14:paraId="2BFDD74F" w14:textId="77777777">
            <w:pPr>
              <w:widowControl w:val="0"/>
              <w:shd w:val="clear" w:color="auto" w:fill="FFFFFF"/>
              <w:rPr>
                <w:sz w:val="20"/>
              </w:rPr>
            </w:pPr>
            <w:r>
              <w:rPr>
                <w:sz w:val="20"/>
              </w:rPr>
              <w:t>30</w:t>
            </w:r>
          </w:p>
        </w:tc>
        <w:tc>
          <w:tcPr>
            <w:tcW w:w="1507" w:type="dxa"/>
            <w:tcBorders>
              <w:top w:val="single" w:sz="6" w:space="0" w:color="auto"/>
              <w:left w:val="single" w:sz="6" w:space="0" w:color="auto"/>
              <w:bottom w:val="single" w:sz="6" w:space="0" w:color="auto"/>
              <w:right w:val="nil"/>
            </w:tcBorders>
            <w:shd w:val="clear" w:color="auto" w:fill="FFFFFF"/>
          </w:tcPr>
          <w:p w14:paraId="2BFDD750" w14:textId="77777777">
            <w:pPr>
              <w:widowControl w:val="0"/>
              <w:shd w:val="clear" w:color="auto" w:fill="FFFFFF"/>
              <w:rPr>
                <w:sz w:val="20"/>
              </w:rPr>
            </w:pPr>
            <w:r>
              <w:rPr>
                <w:sz w:val="20"/>
              </w:rPr>
              <w:t>30</w:t>
            </w:r>
          </w:p>
        </w:tc>
      </w:tr>
    </w:tbl>
    <w:p w14:paraId="2BFDD752" w14:textId="76306C7D">
      <w:pPr>
        <w:ind w:firstLine="709"/>
      </w:pPr>
    </w:p>
    <w:p w14:paraId="2BFDD754" w14:textId="71D03201">
      <w:pPr>
        <w:widowControl w:val="0"/>
        <w:shd w:val="clear" w:color="auto" w:fill="FFFFFF"/>
        <w:ind w:firstLine="709"/>
        <w:jc w:val="both"/>
      </w:pPr>
      <w:r>
        <w:t xml:space="preserve">* Kaip nustatyta Išmetamųjų teršalų iš kurą deginančių įrenginių normose, patvirtintose LR aplinkos ministro 2001 m. rugsėjo 28 d. įsakymu Nr. 486 (Žin., 2001, Nr. </w:t>
      </w:r>
      <w:fldSimple w:instr="HYPERLINK https://www.e-tar.lt/portal/lt/legalAct/TAR.1F45AA1FF2D0 \t _blank">
        <w:r>
          <w:rPr>
            <w:color w:val="0000FF" w:themeColor="hyperlink"/>
            <w:u w:val="single"/>
          </w:rPr>
          <w:t>88-3100</w:t>
        </w:r>
      </w:fldSimple>
      <w:r>
        <w:t>)“.</w:t>
      </w:r>
    </w:p>
    <w:p w14:paraId="2BFDD755" w14:textId="77777777">
      <w:pPr>
        <w:widowControl w:val="0"/>
        <w:shd w:val="clear" w:color="auto" w:fill="FFFFFF"/>
        <w:ind w:firstLine="709"/>
        <w:jc w:val="both"/>
      </w:pPr>
      <w:r>
        <w:t>20</w:t>
      </w:r>
      <w:r>
        <w:t>. Išdėstau nurodytų reikalavimų 2 priedo 3 dalies 3.8 punktą taip:</w:t>
      </w:r>
    </w:p>
    <w:p w14:paraId="2BFDD756" w14:textId="77777777">
      <w:pPr>
        <w:widowControl w:val="0"/>
        <w:shd w:val="clear" w:color="auto" w:fill="FFFFFF"/>
        <w:ind w:firstLine="709"/>
        <w:jc w:val="both"/>
      </w:pPr>
      <w:r>
        <w:t>„</w:t>
      </w:r>
      <w:r>
        <w:t>3.8</w:t>
      </w:r>
      <w:r>
        <w:t>. Visiems šio priedo trečioje dalyje paminėtiems įrenginiams taikomos šios bendrosios išmetamųjų teršalų ribinės vertės:“.</w:t>
      </w:r>
    </w:p>
    <w:p w14:paraId="2BFDD757" w14:textId="77777777">
      <w:pPr>
        <w:widowControl w:val="0"/>
        <w:shd w:val="clear" w:color="auto" w:fill="FFFFFF"/>
        <w:ind w:firstLine="709"/>
        <w:jc w:val="both"/>
      </w:pPr>
      <w:r>
        <w:t>21</w:t>
      </w:r>
      <w:r>
        <w:t>. Išdėstau nurodytų reikalavimų 2 priedo 4 dalies 4.1 punktą taip:</w:t>
      </w:r>
    </w:p>
    <w:p w14:paraId="2BFDD758" w14:textId="77777777">
      <w:pPr>
        <w:widowControl w:val="0"/>
        <w:shd w:val="clear" w:color="auto" w:fill="FFFFFF"/>
        <w:ind w:firstLine="709"/>
        <w:jc w:val="both"/>
      </w:pPr>
      <w:r>
        <w:t>„</w:t>
      </w:r>
      <w:r>
        <w:t>4.1</w:t>
      </w:r>
      <w:r>
        <w:t>. Įrenginiams taikomos šios bendrosios išmetamųjų teršalų ribinės vertės:“.</w:t>
      </w:r>
    </w:p>
    <w:p w14:paraId="2BFDD759" w14:textId="64D7E187">
      <w:pPr>
        <w:widowControl w:val="0"/>
        <w:shd w:val="clear" w:color="auto" w:fill="FFFFFF"/>
        <w:ind w:firstLine="709"/>
        <w:jc w:val="both"/>
      </w:pPr>
      <w:r>
        <w:t>22</w:t>
      </w:r>
      <w:r>
        <w:t>. Išdėstau nurodytų reikalavimų 3 priedo 3 punktą taip:</w:t>
      </w:r>
    </w:p>
    <w:p w14:paraId="2BFDD75A" w14:textId="1A9EAD8C">
      <w:pPr>
        <w:widowControl w:val="0"/>
        <w:shd w:val="clear" w:color="auto" w:fill="FFFFFF"/>
        <w:ind w:firstLine="709"/>
        <w:jc w:val="both"/>
      </w:pPr>
      <w:r>
        <w:t>„</w:t>
      </w:r>
      <w:r>
        <w:t>3</w:t>
      </w:r>
      <w:r>
        <w:t>. Nustatant išmetamųjų teršalų paros ribinės vertės lygį, vieno matavimo rezultatas 95% patikimumo intervale neturi viršyti šių išmetamųjų teršalų ribinių verčių procentų:</w:t>
      </w:r>
    </w:p>
    <w:p w14:paraId="2BFDD75B"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5549"/>
        <w:gridCol w:w="4088"/>
      </w:tblGrid>
      <w:tr w14:paraId="2BFDD75E"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5C" w14:textId="77777777">
            <w:pPr>
              <w:widowControl w:val="0"/>
              <w:shd w:val="clear" w:color="auto" w:fill="FFFFFF"/>
              <w:rPr>
                <w:sz w:val="20"/>
              </w:rPr>
            </w:pPr>
            <w:r>
              <w:rPr>
                <w:sz w:val="20"/>
              </w:rPr>
              <w:t>Anglies monoksidas</w:t>
            </w:r>
          </w:p>
        </w:tc>
        <w:tc>
          <w:tcPr>
            <w:tcW w:w="3869" w:type="dxa"/>
            <w:tcBorders>
              <w:top w:val="single" w:sz="6" w:space="0" w:color="auto"/>
              <w:left w:val="single" w:sz="6" w:space="0" w:color="auto"/>
              <w:bottom w:val="single" w:sz="6" w:space="0" w:color="auto"/>
              <w:right w:val="nil"/>
            </w:tcBorders>
            <w:shd w:val="clear" w:color="auto" w:fill="FFFFFF"/>
          </w:tcPr>
          <w:p w14:paraId="2BFDD75D" w14:textId="77777777">
            <w:pPr>
              <w:widowControl w:val="0"/>
              <w:shd w:val="clear" w:color="auto" w:fill="FFFFFF"/>
              <w:rPr>
                <w:sz w:val="20"/>
              </w:rPr>
            </w:pPr>
            <w:r>
              <w:rPr>
                <w:sz w:val="20"/>
              </w:rPr>
              <w:t>10%</w:t>
            </w:r>
          </w:p>
        </w:tc>
      </w:tr>
      <w:tr w14:paraId="2BFDD761"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5F" w14:textId="77777777">
            <w:pPr>
              <w:widowControl w:val="0"/>
              <w:shd w:val="clear" w:color="auto" w:fill="FFFFFF"/>
              <w:rPr>
                <w:sz w:val="20"/>
              </w:rPr>
            </w:pPr>
            <w:r>
              <w:rPr>
                <w:sz w:val="20"/>
              </w:rPr>
              <w:t>Sieros dioksidas</w:t>
            </w:r>
          </w:p>
        </w:tc>
        <w:tc>
          <w:tcPr>
            <w:tcW w:w="3869" w:type="dxa"/>
            <w:tcBorders>
              <w:top w:val="single" w:sz="6" w:space="0" w:color="auto"/>
              <w:left w:val="single" w:sz="6" w:space="0" w:color="auto"/>
              <w:bottom w:val="single" w:sz="6" w:space="0" w:color="auto"/>
              <w:right w:val="nil"/>
            </w:tcBorders>
            <w:shd w:val="clear" w:color="auto" w:fill="FFFFFF"/>
          </w:tcPr>
          <w:p w14:paraId="2BFDD760" w14:textId="77777777">
            <w:pPr>
              <w:widowControl w:val="0"/>
              <w:shd w:val="clear" w:color="auto" w:fill="FFFFFF"/>
              <w:rPr>
                <w:sz w:val="20"/>
              </w:rPr>
            </w:pPr>
            <w:r>
              <w:rPr>
                <w:sz w:val="20"/>
              </w:rPr>
              <w:t>20%</w:t>
            </w:r>
          </w:p>
        </w:tc>
      </w:tr>
      <w:tr w14:paraId="2BFDD764"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62" w14:textId="77777777">
            <w:pPr>
              <w:widowControl w:val="0"/>
              <w:shd w:val="clear" w:color="auto" w:fill="FFFFFF"/>
              <w:rPr>
                <w:sz w:val="20"/>
              </w:rPr>
            </w:pPr>
            <w:r>
              <w:rPr>
                <w:sz w:val="20"/>
              </w:rPr>
              <w:t>Azoto dioksidas</w:t>
            </w:r>
          </w:p>
        </w:tc>
        <w:tc>
          <w:tcPr>
            <w:tcW w:w="3869" w:type="dxa"/>
            <w:tcBorders>
              <w:top w:val="single" w:sz="6" w:space="0" w:color="auto"/>
              <w:left w:val="single" w:sz="6" w:space="0" w:color="auto"/>
              <w:bottom w:val="single" w:sz="6" w:space="0" w:color="auto"/>
              <w:right w:val="nil"/>
            </w:tcBorders>
            <w:shd w:val="clear" w:color="auto" w:fill="FFFFFF"/>
          </w:tcPr>
          <w:p w14:paraId="2BFDD763" w14:textId="77777777">
            <w:pPr>
              <w:widowControl w:val="0"/>
              <w:shd w:val="clear" w:color="auto" w:fill="FFFFFF"/>
              <w:rPr>
                <w:sz w:val="20"/>
              </w:rPr>
            </w:pPr>
            <w:r>
              <w:rPr>
                <w:sz w:val="20"/>
              </w:rPr>
              <w:t>20%</w:t>
            </w:r>
          </w:p>
        </w:tc>
      </w:tr>
      <w:tr w14:paraId="2BFDD767"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65" w14:textId="77777777">
            <w:pPr>
              <w:widowControl w:val="0"/>
              <w:shd w:val="clear" w:color="auto" w:fill="FFFFFF"/>
              <w:rPr>
                <w:sz w:val="20"/>
              </w:rPr>
            </w:pPr>
            <w:r>
              <w:rPr>
                <w:sz w:val="20"/>
              </w:rPr>
              <w:t>Bendras dulkių kiekis</w:t>
            </w:r>
          </w:p>
        </w:tc>
        <w:tc>
          <w:tcPr>
            <w:tcW w:w="3869" w:type="dxa"/>
            <w:tcBorders>
              <w:top w:val="single" w:sz="6" w:space="0" w:color="auto"/>
              <w:left w:val="single" w:sz="6" w:space="0" w:color="auto"/>
              <w:bottom w:val="single" w:sz="6" w:space="0" w:color="auto"/>
              <w:right w:val="nil"/>
            </w:tcBorders>
            <w:shd w:val="clear" w:color="auto" w:fill="FFFFFF"/>
          </w:tcPr>
          <w:p w14:paraId="2BFDD766" w14:textId="77777777">
            <w:pPr>
              <w:widowControl w:val="0"/>
              <w:shd w:val="clear" w:color="auto" w:fill="FFFFFF"/>
              <w:rPr>
                <w:sz w:val="20"/>
              </w:rPr>
            </w:pPr>
            <w:r>
              <w:rPr>
                <w:sz w:val="20"/>
              </w:rPr>
              <w:t>30%</w:t>
            </w:r>
          </w:p>
        </w:tc>
      </w:tr>
      <w:tr w14:paraId="2BFDD76A"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68" w14:textId="77777777">
            <w:pPr>
              <w:widowControl w:val="0"/>
              <w:shd w:val="clear" w:color="auto" w:fill="FFFFFF"/>
              <w:rPr>
                <w:sz w:val="20"/>
              </w:rPr>
            </w:pPr>
            <w:r>
              <w:rPr>
                <w:sz w:val="20"/>
              </w:rPr>
              <w:t>Bendras organinės anglies kiekis</w:t>
            </w:r>
          </w:p>
        </w:tc>
        <w:tc>
          <w:tcPr>
            <w:tcW w:w="3869" w:type="dxa"/>
            <w:tcBorders>
              <w:top w:val="single" w:sz="6" w:space="0" w:color="auto"/>
              <w:left w:val="single" w:sz="6" w:space="0" w:color="auto"/>
              <w:bottom w:val="single" w:sz="6" w:space="0" w:color="auto"/>
              <w:right w:val="nil"/>
            </w:tcBorders>
            <w:shd w:val="clear" w:color="auto" w:fill="FFFFFF"/>
          </w:tcPr>
          <w:p w14:paraId="2BFDD769" w14:textId="77777777">
            <w:pPr>
              <w:widowControl w:val="0"/>
              <w:shd w:val="clear" w:color="auto" w:fill="FFFFFF"/>
              <w:rPr>
                <w:sz w:val="20"/>
              </w:rPr>
            </w:pPr>
            <w:r>
              <w:rPr>
                <w:sz w:val="20"/>
              </w:rPr>
              <w:t>30%</w:t>
            </w:r>
          </w:p>
        </w:tc>
      </w:tr>
      <w:tr w14:paraId="2BFDD76D"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6B" w14:textId="77777777">
            <w:pPr>
              <w:widowControl w:val="0"/>
              <w:shd w:val="clear" w:color="auto" w:fill="FFFFFF"/>
              <w:rPr>
                <w:sz w:val="20"/>
              </w:rPr>
            </w:pPr>
            <w:r>
              <w:rPr>
                <w:sz w:val="20"/>
              </w:rPr>
              <w:t>Vandenilio chloridas</w:t>
            </w:r>
          </w:p>
        </w:tc>
        <w:tc>
          <w:tcPr>
            <w:tcW w:w="3869" w:type="dxa"/>
            <w:tcBorders>
              <w:top w:val="single" w:sz="6" w:space="0" w:color="auto"/>
              <w:left w:val="single" w:sz="6" w:space="0" w:color="auto"/>
              <w:bottom w:val="single" w:sz="6" w:space="0" w:color="auto"/>
              <w:right w:val="nil"/>
            </w:tcBorders>
            <w:shd w:val="clear" w:color="auto" w:fill="FFFFFF"/>
          </w:tcPr>
          <w:p w14:paraId="2BFDD76C" w14:textId="77777777">
            <w:pPr>
              <w:widowControl w:val="0"/>
              <w:shd w:val="clear" w:color="auto" w:fill="FFFFFF"/>
              <w:rPr>
                <w:sz w:val="20"/>
              </w:rPr>
            </w:pPr>
            <w:r>
              <w:rPr>
                <w:sz w:val="20"/>
              </w:rPr>
              <w:t>40%</w:t>
            </w:r>
          </w:p>
        </w:tc>
      </w:tr>
      <w:tr w14:paraId="2BFDD770"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6E" w14:textId="77777777">
            <w:pPr>
              <w:widowControl w:val="0"/>
              <w:shd w:val="clear" w:color="auto" w:fill="FFFFFF"/>
              <w:rPr>
                <w:sz w:val="20"/>
              </w:rPr>
            </w:pPr>
            <w:r>
              <w:rPr>
                <w:sz w:val="20"/>
              </w:rPr>
              <w:t>Vandenilio fluoridas</w:t>
            </w:r>
          </w:p>
        </w:tc>
        <w:tc>
          <w:tcPr>
            <w:tcW w:w="3869" w:type="dxa"/>
            <w:tcBorders>
              <w:top w:val="single" w:sz="6" w:space="0" w:color="auto"/>
              <w:left w:val="single" w:sz="6" w:space="0" w:color="auto"/>
              <w:bottom w:val="single" w:sz="6" w:space="0" w:color="auto"/>
              <w:right w:val="nil"/>
            </w:tcBorders>
            <w:shd w:val="clear" w:color="auto" w:fill="FFFFFF"/>
          </w:tcPr>
          <w:p w14:paraId="2BFDD76F" w14:textId="77777777">
            <w:pPr>
              <w:widowControl w:val="0"/>
              <w:shd w:val="clear" w:color="auto" w:fill="FFFFFF"/>
              <w:rPr>
                <w:sz w:val="20"/>
              </w:rPr>
            </w:pPr>
            <w:r>
              <w:rPr>
                <w:sz w:val="20"/>
              </w:rPr>
              <w:t>40%“.</w:t>
            </w:r>
          </w:p>
        </w:tc>
      </w:tr>
    </w:tbl>
    <w:p w14:paraId="2BFDD772" w14:textId="6C3AE423">
      <w:pPr>
        <w:widowControl w:val="0"/>
        <w:ind w:firstLine="709"/>
      </w:pPr>
    </w:p>
    <w:p w14:paraId="2BFDD773" w14:textId="06495C25">
      <w:pPr>
        <w:widowControl w:val="0"/>
        <w:shd w:val="clear" w:color="auto" w:fill="FFFFFF"/>
        <w:ind w:firstLine="709"/>
        <w:jc w:val="both"/>
      </w:pPr>
      <w:r>
        <w:t>23</w:t>
      </w:r>
      <w:r>
        <w:t>. Išdėstau nurodytų reikalavimų 5 priedo 1 dalies pavadinimą taip:</w:t>
      </w:r>
    </w:p>
    <w:p w14:paraId="2BFDD774" w14:textId="7EF0A4D1">
      <w:pPr>
        <w:widowControl w:val="0"/>
        <w:shd w:val="clear" w:color="auto" w:fill="FFFFFF"/>
        <w:jc w:val="center"/>
      </w:pPr>
      <w:r>
        <w:rPr>
          <w:bCs/>
        </w:rPr>
        <w:t>„</w:t>
      </w:r>
      <w:r>
        <w:rPr>
          <w:b/>
          <w:bCs/>
        </w:rPr>
        <w:t>1. Vidutinės paros vertės</w:t>
      </w:r>
      <w:r>
        <w:rPr>
          <w:bCs/>
        </w:rPr>
        <w:t>“.</w:t>
      </w:r>
    </w:p>
    <w:p w14:paraId="2BFDD775" w14:textId="4B0A9709">
      <w:pPr>
        <w:ind w:firstLine="709"/>
      </w:pPr>
    </w:p>
    <w:p w14:paraId="2BFDD776" w14:textId="77777777">
      <w:pPr>
        <w:widowControl w:val="0"/>
        <w:shd w:val="clear" w:color="auto" w:fill="FFFFFF"/>
        <w:ind w:firstLine="709"/>
        <w:jc w:val="both"/>
      </w:pPr>
      <w:r>
        <w:t>24</w:t>
      </w:r>
      <w:r>
        <w:t>. Išdėstau nurodytų reikalavimų 5 priedo 3 dalį taip:</w:t>
      </w:r>
    </w:p>
    <w:p w14:paraId="2BFDD777" w14:textId="47E03FD5">
      <w:pPr>
        <w:widowControl w:val="0"/>
        <w:shd w:val="clear" w:color="auto" w:fill="FFFFFF"/>
        <w:jc w:val="center"/>
      </w:pPr>
      <w:r>
        <w:rPr>
          <w:bCs/>
        </w:rPr>
        <w:t>„</w:t>
      </w:r>
      <w:r>
        <w:rPr>
          <w:b/>
          <w:bCs/>
        </w:rPr>
        <w:t>3</w:t>
      </w:r>
      <w:r>
        <w:rPr>
          <w:b/>
          <w:bCs/>
        </w:rPr>
        <w:t>. Vidutinės vertės, nustatytos mėginiuose, paimtuose per mažiausiai 30 minučių ir daugiausiai 8 valandų laikotarpį</w:t>
      </w:r>
    </w:p>
    <w:p w14:paraId="2BFDD778" w14:textId="77777777">
      <w:pPr>
        <w:ind w:firstLine="709"/>
      </w:pPr>
    </w:p>
    <w:tbl>
      <w:tblPr>
        <w:tblW w:w="9637" w:type="dxa"/>
        <w:tblLayout w:type="fixed"/>
        <w:tblCellMar>
          <w:left w:w="40" w:type="dxa"/>
          <w:right w:w="40" w:type="dxa"/>
        </w:tblCellMar>
        <w:tblLook w:val="0000" w:firstRow="0" w:lastRow="0" w:firstColumn="0" w:lastColumn="0" w:noHBand="0" w:noVBand="0"/>
      </w:tblPr>
      <w:tblGrid>
        <w:gridCol w:w="5539"/>
        <w:gridCol w:w="1930"/>
        <w:gridCol w:w="2168"/>
      </w:tblGrid>
      <w:tr w14:paraId="2BFDD77C"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79" w14:textId="77777777">
            <w:pPr>
              <w:widowControl w:val="0"/>
              <w:shd w:val="clear" w:color="auto" w:fill="FFFFFF"/>
              <w:rPr>
                <w:sz w:val="20"/>
              </w:rPr>
            </w:pPr>
            <w:r>
              <w:rPr>
                <w:sz w:val="20"/>
              </w:rPr>
              <w:t>Kadmis ir jo junginiai, išreikšti kadmiu (Cd)</w:t>
            </w:r>
          </w:p>
        </w:tc>
        <w:tc>
          <w:tcPr>
            <w:tcW w:w="1829" w:type="dxa"/>
            <w:vMerge w:val="restart"/>
            <w:tcBorders>
              <w:top w:val="single" w:sz="6" w:space="0" w:color="auto"/>
              <w:left w:val="single" w:sz="6" w:space="0" w:color="auto"/>
              <w:right w:val="single" w:sz="6" w:space="0" w:color="auto"/>
            </w:tcBorders>
            <w:shd w:val="clear" w:color="auto" w:fill="FFFFFF"/>
            <w:vAlign w:val="center"/>
          </w:tcPr>
          <w:p w14:paraId="2BFDD77A" w14:textId="77777777">
            <w:pPr>
              <w:widowControl w:val="0"/>
              <w:shd w:val="clear" w:color="auto" w:fill="FFFFFF"/>
              <w:rPr>
                <w:sz w:val="20"/>
              </w:rPr>
            </w:pPr>
            <w:r>
              <w:rPr>
                <w:sz w:val="20"/>
              </w:rPr>
              <w:t xml:space="preserve">suma </w:t>
              <w:br/>
              <w:t>0,05 mg/Nm</w:t>
            </w:r>
            <w:r>
              <w:rPr>
                <w:sz w:val="20"/>
                <w:vertAlign w:val="superscript"/>
              </w:rPr>
              <w:t>3</w:t>
            </w:r>
          </w:p>
        </w:tc>
        <w:tc>
          <w:tcPr>
            <w:tcW w:w="2055" w:type="dxa"/>
            <w:vMerge w:val="restart"/>
            <w:tcBorders>
              <w:top w:val="single" w:sz="6" w:space="0" w:color="auto"/>
              <w:left w:val="single" w:sz="6" w:space="0" w:color="auto"/>
              <w:right w:val="nil"/>
            </w:tcBorders>
            <w:shd w:val="clear" w:color="auto" w:fill="FFFFFF"/>
            <w:vAlign w:val="center"/>
          </w:tcPr>
          <w:p w14:paraId="2BFDD77B" w14:textId="77777777">
            <w:pPr>
              <w:widowControl w:val="0"/>
              <w:shd w:val="clear" w:color="auto" w:fill="FFFFFF"/>
              <w:rPr>
                <w:sz w:val="20"/>
              </w:rPr>
            </w:pPr>
            <w:r>
              <w:rPr>
                <w:sz w:val="20"/>
              </w:rPr>
              <w:t xml:space="preserve">suma </w:t>
              <w:br/>
              <w:t>0,1 mg/Nm</w:t>
            </w:r>
            <w:r>
              <w:rPr>
                <w:sz w:val="20"/>
                <w:vertAlign w:val="superscript"/>
              </w:rPr>
              <w:t>3</w:t>
            </w:r>
            <w:r>
              <w:rPr>
                <w:sz w:val="20"/>
              </w:rPr>
              <w:t>****</w:t>
            </w:r>
          </w:p>
        </w:tc>
      </w:tr>
      <w:tr w14:paraId="2BFDD780"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7D" w14:textId="77777777">
            <w:pPr>
              <w:widowControl w:val="0"/>
              <w:shd w:val="clear" w:color="auto" w:fill="FFFFFF"/>
              <w:rPr>
                <w:sz w:val="20"/>
              </w:rPr>
            </w:pPr>
            <w:r>
              <w:rPr>
                <w:sz w:val="20"/>
              </w:rPr>
              <w:t>Talis ir jo junginiai, išreikšti taliu (Tl)</w:t>
            </w:r>
          </w:p>
        </w:tc>
        <w:tc>
          <w:tcPr>
            <w:tcW w:w="1829" w:type="dxa"/>
            <w:vMerge/>
            <w:tcBorders>
              <w:left w:val="single" w:sz="6" w:space="0" w:color="auto"/>
              <w:bottom w:val="single" w:sz="6" w:space="0" w:color="auto"/>
              <w:right w:val="single" w:sz="6" w:space="0" w:color="auto"/>
            </w:tcBorders>
            <w:shd w:val="clear" w:color="auto" w:fill="FFFFFF"/>
            <w:vAlign w:val="center"/>
          </w:tcPr>
          <w:p w14:paraId="2BFDD77E" w14:textId="77777777">
            <w:pPr>
              <w:widowControl w:val="0"/>
              <w:shd w:val="clear" w:color="auto" w:fill="FFFFFF"/>
              <w:rPr>
                <w:sz w:val="20"/>
              </w:rPr>
            </w:pPr>
          </w:p>
        </w:tc>
        <w:tc>
          <w:tcPr>
            <w:tcW w:w="2055" w:type="dxa"/>
            <w:vMerge/>
            <w:tcBorders>
              <w:left w:val="single" w:sz="6" w:space="0" w:color="auto"/>
              <w:bottom w:val="single" w:sz="6" w:space="0" w:color="auto"/>
              <w:right w:val="nil"/>
            </w:tcBorders>
            <w:shd w:val="clear" w:color="auto" w:fill="FFFFFF"/>
            <w:vAlign w:val="center"/>
          </w:tcPr>
          <w:p w14:paraId="2BFDD77F" w14:textId="77777777">
            <w:pPr>
              <w:widowControl w:val="0"/>
              <w:shd w:val="clear" w:color="auto" w:fill="FFFFFF"/>
              <w:rPr>
                <w:sz w:val="20"/>
              </w:rPr>
            </w:pPr>
          </w:p>
        </w:tc>
      </w:tr>
      <w:tr w14:paraId="2BFDD784"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81" w14:textId="77777777">
            <w:pPr>
              <w:widowControl w:val="0"/>
              <w:shd w:val="clear" w:color="auto" w:fill="FFFFFF"/>
              <w:rPr>
                <w:sz w:val="20"/>
              </w:rPr>
            </w:pPr>
            <w:r>
              <w:rPr>
                <w:sz w:val="20"/>
              </w:rPr>
              <w:t>Gyvsidabris ir jo junginiai, išreikšti gyvsidabriu (Hg)</w:t>
            </w:r>
          </w:p>
        </w:tc>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14:paraId="2BFDD782" w14:textId="77777777">
            <w:pPr>
              <w:widowControl w:val="0"/>
              <w:shd w:val="clear" w:color="auto" w:fill="FFFFFF"/>
              <w:rPr>
                <w:sz w:val="20"/>
              </w:rPr>
            </w:pPr>
            <w:r>
              <w:rPr>
                <w:sz w:val="20"/>
              </w:rPr>
              <w:t>0,05 mg/Nm</w:t>
            </w:r>
            <w:r>
              <w:rPr>
                <w:sz w:val="20"/>
                <w:vertAlign w:val="superscript"/>
              </w:rPr>
              <w:t>3</w:t>
            </w:r>
          </w:p>
        </w:tc>
        <w:tc>
          <w:tcPr>
            <w:tcW w:w="2055" w:type="dxa"/>
            <w:tcBorders>
              <w:top w:val="single" w:sz="6" w:space="0" w:color="auto"/>
              <w:left w:val="single" w:sz="6" w:space="0" w:color="auto"/>
              <w:bottom w:val="single" w:sz="6" w:space="0" w:color="auto"/>
              <w:right w:val="nil"/>
            </w:tcBorders>
            <w:shd w:val="clear" w:color="auto" w:fill="FFFFFF"/>
            <w:vAlign w:val="center"/>
          </w:tcPr>
          <w:p w14:paraId="2BFDD783" w14:textId="77777777">
            <w:pPr>
              <w:widowControl w:val="0"/>
              <w:shd w:val="clear" w:color="auto" w:fill="FFFFFF"/>
              <w:rPr>
                <w:sz w:val="20"/>
              </w:rPr>
            </w:pPr>
            <w:r>
              <w:rPr>
                <w:sz w:val="20"/>
              </w:rPr>
              <w:t>0,1 mg/Nm</w:t>
            </w:r>
            <w:r>
              <w:rPr>
                <w:sz w:val="20"/>
                <w:vertAlign w:val="superscript"/>
              </w:rPr>
              <w:t>3</w:t>
            </w:r>
            <w:r>
              <w:rPr>
                <w:sz w:val="20"/>
              </w:rPr>
              <w:t>****</w:t>
            </w:r>
          </w:p>
        </w:tc>
      </w:tr>
      <w:tr w14:paraId="2BFDD788"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85" w14:textId="77777777">
            <w:pPr>
              <w:widowControl w:val="0"/>
              <w:shd w:val="clear" w:color="auto" w:fill="FFFFFF"/>
              <w:rPr>
                <w:sz w:val="20"/>
              </w:rPr>
            </w:pPr>
            <w:r>
              <w:rPr>
                <w:sz w:val="20"/>
              </w:rPr>
              <w:t>Stibis ir jo junginiai, išreikšti stibiu (Sb)</w:t>
            </w:r>
          </w:p>
        </w:tc>
        <w:tc>
          <w:tcPr>
            <w:tcW w:w="1829" w:type="dxa"/>
            <w:vMerge w:val="restart"/>
            <w:tcBorders>
              <w:top w:val="single" w:sz="6" w:space="0" w:color="auto"/>
              <w:left w:val="single" w:sz="6" w:space="0" w:color="auto"/>
              <w:right w:val="single" w:sz="6" w:space="0" w:color="auto"/>
            </w:tcBorders>
            <w:shd w:val="clear" w:color="auto" w:fill="FFFFFF"/>
            <w:vAlign w:val="center"/>
          </w:tcPr>
          <w:p w14:paraId="2BFDD786" w14:textId="77777777">
            <w:pPr>
              <w:widowControl w:val="0"/>
              <w:shd w:val="clear" w:color="auto" w:fill="FFFFFF"/>
              <w:rPr>
                <w:sz w:val="20"/>
              </w:rPr>
            </w:pPr>
            <w:r>
              <w:rPr>
                <w:sz w:val="20"/>
              </w:rPr>
              <w:t>suma</w:t>
              <w:br/>
              <w:t>0,5 mg/Nm</w:t>
            </w:r>
            <w:r>
              <w:rPr>
                <w:sz w:val="20"/>
                <w:vertAlign w:val="superscript"/>
              </w:rPr>
              <w:t>3</w:t>
            </w:r>
          </w:p>
        </w:tc>
        <w:tc>
          <w:tcPr>
            <w:tcW w:w="2055" w:type="dxa"/>
            <w:vMerge w:val="restart"/>
            <w:tcBorders>
              <w:top w:val="single" w:sz="6" w:space="0" w:color="auto"/>
              <w:left w:val="single" w:sz="6" w:space="0" w:color="auto"/>
              <w:right w:val="nil"/>
            </w:tcBorders>
            <w:shd w:val="clear" w:color="auto" w:fill="FFFFFF"/>
            <w:vAlign w:val="center"/>
          </w:tcPr>
          <w:p w14:paraId="2BFDD787" w14:textId="77777777">
            <w:pPr>
              <w:widowControl w:val="0"/>
              <w:shd w:val="clear" w:color="auto" w:fill="FFFFFF"/>
              <w:rPr>
                <w:sz w:val="20"/>
              </w:rPr>
            </w:pPr>
            <w:r>
              <w:rPr>
                <w:sz w:val="20"/>
              </w:rPr>
              <w:t>suma</w:t>
              <w:br/>
              <w:t>1 mg/Nm</w:t>
            </w:r>
            <w:r>
              <w:rPr>
                <w:sz w:val="20"/>
                <w:vertAlign w:val="superscript"/>
              </w:rPr>
              <w:t>3</w:t>
            </w:r>
            <w:r>
              <w:rPr>
                <w:sz w:val="20"/>
              </w:rPr>
              <w:t>****</w:t>
            </w:r>
          </w:p>
        </w:tc>
      </w:tr>
      <w:tr w14:paraId="2BFDD78C"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89" w14:textId="77777777">
            <w:pPr>
              <w:widowControl w:val="0"/>
              <w:shd w:val="clear" w:color="auto" w:fill="FFFFFF"/>
              <w:rPr>
                <w:sz w:val="20"/>
              </w:rPr>
            </w:pPr>
            <w:r>
              <w:rPr>
                <w:sz w:val="20"/>
              </w:rPr>
              <w:t>Arsenas ir jo junginiai, išreikšti arsenu (As)</w:t>
            </w:r>
          </w:p>
        </w:tc>
        <w:tc>
          <w:tcPr>
            <w:tcW w:w="1829" w:type="dxa"/>
            <w:vMerge/>
            <w:tcBorders>
              <w:left w:val="single" w:sz="6" w:space="0" w:color="auto"/>
              <w:right w:val="single" w:sz="6" w:space="0" w:color="auto"/>
            </w:tcBorders>
            <w:shd w:val="clear" w:color="auto" w:fill="FFFFFF"/>
          </w:tcPr>
          <w:p w14:paraId="2BFDD78A" w14:textId="77777777">
            <w:pPr>
              <w:widowControl w:val="0"/>
              <w:shd w:val="clear" w:color="auto" w:fill="FFFFFF"/>
              <w:rPr>
                <w:sz w:val="20"/>
              </w:rPr>
            </w:pPr>
          </w:p>
        </w:tc>
        <w:tc>
          <w:tcPr>
            <w:tcW w:w="2055" w:type="dxa"/>
            <w:vMerge/>
            <w:tcBorders>
              <w:left w:val="single" w:sz="6" w:space="0" w:color="auto"/>
              <w:right w:val="nil"/>
            </w:tcBorders>
            <w:shd w:val="clear" w:color="auto" w:fill="FFFFFF"/>
          </w:tcPr>
          <w:p w14:paraId="2BFDD78B" w14:textId="77777777">
            <w:pPr>
              <w:widowControl w:val="0"/>
              <w:shd w:val="clear" w:color="auto" w:fill="FFFFFF"/>
              <w:rPr>
                <w:sz w:val="20"/>
              </w:rPr>
            </w:pPr>
          </w:p>
        </w:tc>
      </w:tr>
      <w:tr w14:paraId="2BFDD790"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8D" w14:textId="77777777">
            <w:pPr>
              <w:widowControl w:val="0"/>
              <w:shd w:val="clear" w:color="auto" w:fill="FFFFFF"/>
              <w:rPr>
                <w:sz w:val="20"/>
              </w:rPr>
            </w:pPr>
            <w:r>
              <w:rPr>
                <w:sz w:val="20"/>
              </w:rPr>
              <w:t>Švinas ir jo junginiai, išreikšti švinu (Pb)</w:t>
            </w:r>
          </w:p>
        </w:tc>
        <w:tc>
          <w:tcPr>
            <w:tcW w:w="1829" w:type="dxa"/>
            <w:vMerge/>
            <w:tcBorders>
              <w:left w:val="single" w:sz="6" w:space="0" w:color="auto"/>
              <w:right w:val="single" w:sz="6" w:space="0" w:color="auto"/>
            </w:tcBorders>
            <w:shd w:val="clear" w:color="auto" w:fill="FFFFFF"/>
          </w:tcPr>
          <w:p w14:paraId="2BFDD78E" w14:textId="77777777">
            <w:pPr>
              <w:widowControl w:val="0"/>
              <w:shd w:val="clear" w:color="auto" w:fill="FFFFFF"/>
              <w:rPr>
                <w:sz w:val="20"/>
              </w:rPr>
            </w:pPr>
          </w:p>
        </w:tc>
        <w:tc>
          <w:tcPr>
            <w:tcW w:w="2055" w:type="dxa"/>
            <w:vMerge/>
            <w:tcBorders>
              <w:left w:val="single" w:sz="6" w:space="0" w:color="auto"/>
              <w:right w:val="nil"/>
            </w:tcBorders>
            <w:shd w:val="clear" w:color="auto" w:fill="FFFFFF"/>
          </w:tcPr>
          <w:p w14:paraId="2BFDD78F" w14:textId="77777777">
            <w:pPr>
              <w:widowControl w:val="0"/>
              <w:shd w:val="clear" w:color="auto" w:fill="FFFFFF"/>
              <w:rPr>
                <w:sz w:val="20"/>
              </w:rPr>
            </w:pPr>
          </w:p>
        </w:tc>
      </w:tr>
      <w:tr w14:paraId="2BFDD794"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91" w14:textId="77777777">
            <w:pPr>
              <w:widowControl w:val="0"/>
              <w:shd w:val="clear" w:color="auto" w:fill="FFFFFF"/>
              <w:rPr>
                <w:sz w:val="20"/>
              </w:rPr>
            </w:pPr>
            <w:r>
              <w:rPr>
                <w:sz w:val="20"/>
              </w:rPr>
              <w:t>Chromas ir jo junginiai, išreikšti chromu (Cr)</w:t>
            </w:r>
          </w:p>
        </w:tc>
        <w:tc>
          <w:tcPr>
            <w:tcW w:w="1829" w:type="dxa"/>
            <w:vMerge/>
            <w:tcBorders>
              <w:left w:val="single" w:sz="6" w:space="0" w:color="auto"/>
              <w:right w:val="single" w:sz="6" w:space="0" w:color="auto"/>
            </w:tcBorders>
            <w:shd w:val="clear" w:color="auto" w:fill="FFFFFF"/>
          </w:tcPr>
          <w:p w14:paraId="2BFDD792" w14:textId="77777777">
            <w:pPr>
              <w:widowControl w:val="0"/>
              <w:shd w:val="clear" w:color="auto" w:fill="FFFFFF"/>
              <w:rPr>
                <w:sz w:val="20"/>
              </w:rPr>
            </w:pPr>
          </w:p>
        </w:tc>
        <w:tc>
          <w:tcPr>
            <w:tcW w:w="2055" w:type="dxa"/>
            <w:vMerge/>
            <w:tcBorders>
              <w:left w:val="single" w:sz="6" w:space="0" w:color="auto"/>
              <w:right w:val="nil"/>
            </w:tcBorders>
            <w:shd w:val="clear" w:color="auto" w:fill="FFFFFF"/>
          </w:tcPr>
          <w:p w14:paraId="2BFDD793" w14:textId="77777777">
            <w:pPr>
              <w:widowControl w:val="0"/>
              <w:shd w:val="clear" w:color="auto" w:fill="FFFFFF"/>
              <w:rPr>
                <w:sz w:val="20"/>
              </w:rPr>
            </w:pPr>
          </w:p>
        </w:tc>
      </w:tr>
      <w:tr w14:paraId="2BFDD798"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95" w14:textId="77777777">
            <w:pPr>
              <w:widowControl w:val="0"/>
              <w:shd w:val="clear" w:color="auto" w:fill="FFFFFF"/>
              <w:rPr>
                <w:sz w:val="20"/>
              </w:rPr>
            </w:pPr>
            <w:r>
              <w:rPr>
                <w:sz w:val="20"/>
              </w:rPr>
              <w:t>Kobaltas ir jo junginiai, išreikšti kobaltu (Co)</w:t>
            </w:r>
          </w:p>
        </w:tc>
        <w:tc>
          <w:tcPr>
            <w:tcW w:w="1829" w:type="dxa"/>
            <w:vMerge/>
            <w:tcBorders>
              <w:left w:val="single" w:sz="6" w:space="0" w:color="auto"/>
              <w:right w:val="single" w:sz="6" w:space="0" w:color="auto"/>
            </w:tcBorders>
            <w:shd w:val="clear" w:color="auto" w:fill="FFFFFF"/>
          </w:tcPr>
          <w:p w14:paraId="2BFDD796" w14:textId="77777777">
            <w:pPr>
              <w:widowControl w:val="0"/>
              <w:shd w:val="clear" w:color="auto" w:fill="FFFFFF"/>
              <w:rPr>
                <w:sz w:val="20"/>
              </w:rPr>
            </w:pPr>
          </w:p>
        </w:tc>
        <w:tc>
          <w:tcPr>
            <w:tcW w:w="2055" w:type="dxa"/>
            <w:vMerge/>
            <w:tcBorders>
              <w:left w:val="single" w:sz="6" w:space="0" w:color="auto"/>
              <w:right w:val="nil"/>
            </w:tcBorders>
            <w:shd w:val="clear" w:color="auto" w:fill="FFFFFF"/>
          </w:tcPr>
          <w:p w14:paraId="2BFDD797" w14:textId="77777777">
            <w:pPr>
              <w:widowControl w:val="0"/>
              <w:shd w:val="clear" w:color="auto" w:fill="FFFFFF"/>
              <w:rPr>
                <w:sz w:val="20"/>
              </w:rPr>
            </w:pPr>
          </w:p>
        </w:tc>
      </w:tr>
      <w:tr w14:paraId="2BFDD79C"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99" w14:textId="77777777">
            <w:pPr>
              <w:widowControl w:val="0"/>
              <w:shd w:val="clear" w:color="auto" w:fill="FFFFFF"/>
              <w:rPr>
                <w:sz w:val="20"/>
              </w:rPr>
            </w:pPr>
            <w:r>
              <w:rPr>
                <w:sz w:val="20"/>
              </w:rPr>
              <w:t>Varis ir jo junginiai, išreikšti variu (Cu)</w:t>
            </w:r>
          </w:p>
        </w:tc>
        <w:tc>
          <w:tcPr>
            <w:tcW w:w="1829" w:type="dxa"/>
            <w:vMerge/>
            <w:tcBorders>
              <w:left w:val="single" w:sz="6" w:space="0" w:color="auto"/>
              <w:right w:val="single" w:sz="6" w:space="0" w:color="auto"/>
            </w:tcBorders>
            <w:shd w:val="clear" w:color="auto" w:fill="FFFFFF"/>
          </w:tcPr>
          <w:p w14:paraId="2BFDD79A" w14:textId="77777777">
            <w:pPr>
              <w:widowControl w:val="0"/>
              <w:shd w:val="clear" w:color="auto" w:fill="FFFFFF"/>
              <w:rPr>
                <w:sz w:val="20"/>
              </w:rPr>
            </w:pPr>
          </w:p>
        </w:tc>
        <w:tc>
          <w:tcPr>
            <w:tcW w:w="2055" w:type="dxa"/>
            <w:vMerge/>
            <w:tcBorders>
              <w:left w:val="single" w:sz="6" w:space="0" w:color="auto"/>
              <w:right w:val="nil"/>
            </w:tcBorders>
            <w:shd w:val="clear" w:color="auto" w:fill="FFFFFF"/>
          </w:tcPr>
          <w:p w14:paraId="2BFDD79B" w14:textId="77777777">
            <w:pPr>
              <w:widowControl w:val="0"/>
              <w:shd w:val="clear" w:color="auto" w:fill="FFFFFF"/>
              <w:rPr>
                <w:sz w:val="20"/>
              </w:rPr>
            </w:pPr>
          </w:p>
        </w:tc>
      </w:tr>
      <w:tr w14:paraId="2BFDD7A0"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9D" w14:textId="77777777">
            <w:pPr>
              <w:widowControl w:val="0"/>
              <w:shd w:val="clear" w:color="auto" w:fill="FFFFFF"/>
              <w:rPr>
                <w:sz w:val="20"/>
              </w:rPr>
            </w:pPr>
            <w:r>
              <w:rPr>
                <w:sz w:val="20"/>
              </w:rPr>
              <w:t>Manganas ir jo junginiai, išreikšti manganu (Mn)</w:t>
            </w:r>
          </w:p>
        </w:tc>
        <w:tc>
          <w:tcPr>
            <w:tcW w:w="1829" w:type="dxa"/>
            <w:vMerge/>
            <w:tcBorders>
              <w:left w:val="single" w:sz="6" w:space="0" w:color="auto"/>
              <w:right w:val="single" w:sz="6" w:space="0" w:color="auto"/>
            </w:tcBorders>
            <w:shd w:val="clear" w:color="auto" w:fill="FFFFFF"/>
          </w:tcPr>
          <w:p w14:paraId="2BFDD79E" w14:textId="77777777">
            <w:pPr>
              <w:widowControl w:val="0"/>
              <w:shd w:val="clear" w:color="auto" w:fill="FFFFFF"/>
              <w:rPr>
                <w:sz w:val="20"/>
              </w:rPr>
            </w:pPr>
          </w:p>
        </w:tc>
        <w:tc>
          <w:tcPr>
            <w:tcW w:w="2055" w:type="dxa"/>
            <w:vMerge/>
            <w:tcBorders>
              <w:left w:val="single" w:sz="6" w:space="0" w:color="auto"/>
              <w:right w:val="nil"/>
            </w:tcBorders>
            <w:shd w:val="clear" w:color="auto" w:fill="FFFFFF"/>
          </w:tcPr>
          <w:p w14:paraId="2BFDD79F" w14:textId="77777777">
            <w:pPr>
              <w:widowControl w:val="0"/>
              <w:shd w:val="clear" w:color="auto" w:fill="FFFFFF"/>
              <w:rPr>
                <w:sz w:val="20"/>
              </w:rPr>
            </w:pPr>
          </w:p>
        </w:tc>
      </w:tr>
      <w:tr w14:paraId="2BFDD7A4"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A1" w14:textId="77777777">
            <w:pPr>
              <w:widowControl w:val="0"/>
              <w:shd w:val="clear" w:color="auto" w:fill="FFFFFF"/>
              <w:rPr>
                <w:sz w:val="20"/>
              </w:rPr>
            </w:pPr>
            <w:r>
              <w:rPr>
                <w:sz w:val="20"/>
              </w:rPr>
              <w:t>Nikelis ir jo junginiai, išreikšti nikeliu (Ni)</w:t>
            </w:r>
          </w:p>
        </w:tc>
        <w:tc>
          <w:tcPr>
            <w:tcW w:w="1829" w:type="dxa"/>
            <w:vMerge/>
            <w:tcBorders>
              <w:left w:val="single" w:sz="6" w:space="0" w:color="auto"/>
              <w:right w:val="single" w:sz="6" w:space="0" w:color="auto"/>
            </w:tcBorders>
            <w:shd w:val="clear" w:color="auto" w:fill="FFFFFF"/>
          </w:tcPr>
          <w:p w14:paraId="2BFDD7A2" w14:textId="77777777">
            <w:pPr>
              <w:widowControl w:val="0"/>
              <w:shd w:val="clear" w:color="auto" w:fill="FFFFFF"/>
              <w:rPr>
                <w:sz w:val="20"/>
              </w:rPr>
            </w:pPr>
          </w:p>
        </w:tc>
        <w:tc>
          <w:tcPr>
            <w:tcW w:w="2055" w:type="dxa"/>
            <w:vMerge/>
            <w:tcBorders>
              <w:left w:val="single" w:sz="6" w:space="0" w:color="auto"/>
              <w:right w:val="nil"/>
            </w:tcBorders>
            <w:shd w:val="clear" w:color="auto" w:fill="FFFFFF"/>
          </w:tcPr>
          <w:p w14:paraId="2BFDD7A3" w14:textId="77777777">
            <w:pPr>
              <w:widowControl w:val="0"/>
              <w:shd w:val="clear" w:color="auto" w:fill="FFFFFF"/>
              <w:rPr>
                <w:sz w:val="20"/>
              </w:rPr>
            </w:pPr>
          </w:p>
        </w:tc>
      </w:tr>
      <w:tr w14:paraId="2BFDD7A8" w14:textId="77777777">
        <w:trPr>
          <w:cantSplit/>
          <w:trHeight w:val="23"/>
        </w:trPr>
        <w:tc>
          <w:tcPr>
            <w:tcW w:w="5251" w:type="dxa"/>
            <w:tcBorders>
              <w:top w:val="single" w:sz="6" w:space="0" w:color="auto"/>
              <w:left w:val="nil"/>
              <w:bottom w:val="single" w:sz="6" w:space="0" w:color="auto"/>
              <w:right w:val="single" w:sz="6" w:space="0" w:color="auto"/>
            </w:tcBorders>
            <w:shd w:val="clear" w:color="auto" w:fill="FFFFFF"/>
          </w:tcPr>
          <w:p w14:paraId="2BFDD7A5" w14:textId="77777777">
            <w:pPr>
              <w:widowControl w:val="0"/>
              <w:shd w:val="clear" w:color="auto" w:fill="FFFFFF"/>
              <w:rPr>
                <w:sz w:val="20"/>
              </w:rPr>
            </w:pPr>
            <w:r>
              <w:rPr>
                <w:sz w:val="20"/>
              </w:rPr>
              <w:t>Vanadis ir jo junginiai, išreikšti vanadžiu (V)</w:t>
            </w:r>
          </w:p>
        </w:tc>
        <w:tc>
          <w:tcPr>
            <w:tcW w:w="1829" w:type="dxa"/>
            <w:vMerge/>
            <w:tcBorders>
              <w:left w:val="single" w:sz="6" w:space="0" w:color="auto"/>
              <w:bottom w:val="single" w:sz="6" w:space="0" w:color="auto"/>
              <w:right w:val="single" w:sz="6" w:space="0" w:color="auto"/>
            </w:tcBorders>
            <w:shd w:val="clear" w:color="auto" w:fill="FFFFFF"/>
          </w:tcPr>
          <w:p w14:paraId="2BFDD7A6" w14:textId="77777777">
            <w:pPr>
              <w:widowControl w:val="0"/>
              <w:shd w:val="clear" w:color="auto" w:fill="FFFFFF"/>
              <w:rPr>
                <w:sz w:val="20"/>
              </w:rPr>
            </w:pPr>
          </w:p>
        </w:tc>
        <w:tc>
          <w:tcPr>
            <w:tcW w:w="2055" w:type="dxa"/>
            <w:vMerge/>
            <w:tcBorders>
              <w:left w:val="single" w:sz="6" w:space="0" w:color="auto"/>
              <w:bottom w:val="single" w:sz="6" w:space="0" w:color="auto"/>
              <w:right w:val="nil"/>
            </w:tcBorders>
            <w:shd w:val="clear" w:color="auto" w:fill="FFFFFF"/>
          </w:tcPr>
          <w:p w14:paraId="2BFDD7A7" w14:textId="77777777">
            <w:pPr>
              <w:widowControl w:val="0"/>
              <w:shd w:val="clear" w:color="auto" w:fill="FFFFFF"/>
              <w:rPr>
                <w:sz w:val="20"/>
              </w:rPr>
            </w:pPr>
          </w:p>
        </w:tc>
      </w:tr>
    </w:tbl>
    <w:p w14:paraId="2BFDD7A9" w14:textId="0A20315D">
      <w:pPr>
        <w:ind w:firstLine="709"/>
      </w:pPr>
    </w:p>
    <w:p w14:paraId="2BFDD7AA" w14:textId="78F15E7E">
      <w:pPr>
        <w:widowControl w:val="0"/>
        <w:shd w:val="clear" w:color="auto" w:fill="FFFFFF"/>
        <w:ind w:firstLine="709"/>
        <w:jc w:val="both"/>
      </w:pPr>
      <w:r>
        <w:t>**** Iki 2007 m. sausio 1 d. šios vidutinės vertės taikomos esamiems įrenginiams, deginantiems tik pavojingas atliekas, kuriems leidimas buvo išduotas iki 1996 m. gruodžio 31 d.</w:t>
      </w:r>
    </w:p>
    <w:p w14:paraId="2BFDD7AB" w14:textId="77777777">
      <w:pPr>
        <w:widowControl w:val="0"/>
        <w:shd w:val="clear" w:color="auto" w:fill="FFFFFF"/>
        <w:ind w:firstLine="709"/>
        <w:jc w:val="both"/>
      </w:pPr>
      <w:r>
        <w:t>Šios vidutinės vertės taip pat taikomos atitinkamų sunkiųjų metalų ir jų junginių dujoms ir garams.“.</w:t>
      </w:r>
    </w:p>
    <w:p w14:paraId="2BFDD7AC" w14:textId="2D55986E">
      <w:pPr>
        <w:ind w:firstLine="709"/>
      </w:pPr>
    </w:p>
    <w:p w14:paraId="2BFDD7AD" w14:textId="77777777">
      <w:pPr>
        <w:widowControl w:val="0"/>
        <w:shd w:val="clear" w:color="auto" w:fill="FFFFFF"/>
        <w:ind w:firstLine="709"/>
        <w:jc w:val="both"/>
      </w:pPr>
      <w:r>
        <w:t>25</w:t>
      </w:r>
      <w:r>
        <w:t>. Išdėstau nurodytų reikalavimų 5 priedo 5 dalies 5.1.1 punktą taip:</w:t>
      </w:r>
    </w:p>
    <w:p w14:paraId="2BFDD7B0" w14:textId="32546240">
      <w:pPr>
        <w:widowControl w:val="0"/>
        <w:shd w:val="clear" w:color="auto" w:fill="FFFFFF"/>
        <w:ind w:firstLine="709"/>
        <w:jc w:val="both"/>
      </w:pPr>
      <w:r>
        <w:t>„</w:t>
      </w:r>
      <w:r>
        <w:t>5.1.1</w:t>
      </w:r>
      <w:r>
        <w:t>. 50 mg/Nm</w:t>
      </w:r>
      <w:r>
        <w:rPr>
          <w:vertAlign w:val="superscript"/>
        </w:rPr>
        <w:t>3</w:t>
      </w:r>
      <w:r>
        <w:t xml:space="preserve"> – vidutinė paros vertė;“.</w:t>
      </w:r>
    </w:p>
    <w:p w14:paraId="153E31FE" w14:textId="77777777">
      <w:pPr>
        <w:tabs>
          <w:tab w:val="right" w:pos="9639"/>
        </w:tabs>
      </w:pPr>
    </w:p>
    <w:p w14:paraId="2C5749E1" w14:textId="77777777">
      <w:pPr>
        <w:tabs>
          <w:tab w:val="right" w:pos="9639"/>
        </w:tabs>
      </w:pPr>
    </w:p>
    <w:p w14:paraId="2BBA17B4" w14:textId="77777777">
      <w:pPr>
        <w:tabs>
          <w:tab w:val="right" w:pos="9639"/>
        </w:tabs>
      </w:pPr>
    </w:p>
    <w:p w14:paraId="2BFDD7B3" w14:textId="0E108F54">
      <w:pPr>
        <w:tabs>
          <w:tab w:val="right" w:pos="9639"/>
        </w:tabs>
      </w:pPr>
      <w:r>
        <w:t>APLINKOS MINISTRAS</w:t>
        <w:tab/>
        <w:t>ARŪNAS KUNDROTAS</w:t>
      </w:r>
    </w:p>
    <w:sectPr>
      <w:headerReference w:type="even" r:id="rId12"/>
      <w:pgSz w:w="11906" w:h="16838"/>
      <w:pgMar w:top="1134" w:right="709"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DD7B7" w14:textId="77777777">
      <w:r>
        <w:separator/>
      </w:r>
    </w:p>
  </w:endnote>
  <w:endnote w:type="continuationSeparator" w:id="0">
    <w:p w14:paraId="2BFDD7B8"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DD7B5" w14:textId="77777777">
      <w:r>
        <w:separator/>
      </w:r>
    </w:p>
  </w:footnote>
  <w:footnote w:type="continuationSeparator" w:id="0">
    <w:p w14:paraId="2BFDD7B6"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D7B9"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BFDD7BA"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FDD6A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8715</Characters>
  <Application>Microsoft Office Word</Application>
  <DocSecurity>4</DocSecurity>
  <Lines>311</Lines>
  <Paragraphs>215</Paragraphs>
  <ScaleCrop>false</ScaleCrop>
  <Company>Teisines informacijos centras</Company>
  <LinksUpToDate>false</LinksUpToDate>
  <CharactersWithSpaces>9933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2015-09-18T23:33:00Z</dcterms:created>
  <dc:creator>Sandra</dc:creator>
  <lastModifiedBy>Adlib User</lastModifiedBy>
  <dcterms:modified xsi:type="dcterms:W3CDTF">2015-09-18T23:33:00Z</dcterms:modified>
  <revision>2</revision>
  <dc:title>LIETUVOS RESPUBLIKOS APLINKOS MINISTRAS</dc:title>
</coreProperties>
</file>