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3F" w:rsidRDefault="00743E3F">
      <w:pPr>
        <w:tabs>
          <w:tab w:val="center" w:pos="4153"/>
          <w:tab w:val="right" w:pos="8306"/>
        </w:tabs>
        <w:rPr>
          <w:rFonts w:ascii="TimesLT" w:hAnsi="TimesLT"/>
          <w:lang w:val="en-US"/>
        </w:rPr>
      </w:pPr>
    </w:p>
    <w:p w:rsidR="00743E3F" w:rsidRDefault="007110BA">
      <w:pPr>
        <w:jc w:val="center"/>
        <w:rPr>
          <w:caps/>
          <w:sz w:val="22"/>
        </w:rPr>
      </w:pPr>
      <w:r>
        <w:rPr>
          <w:caps/>
          <w:noProof/>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743E3F" w:rsidRDefault="00743E3F">
      <w:pPr>
        <w:jc w:val="center"/>
        <w:rPr>
          <w:caps/>
          <w:sz w:val="12"/>
          <w:szCs w:val="12"/>
        </w:rPr>
      </w:pPr>
    </w:p>
    <w:p w:rsidR="00743E3F" w:rsidRDefault="007110BA">
      <w:pPr>
        <w:jc w:val="center"/>
        <w:rPr>
          <w:b/>
          <w:bCs/>
          <w:caps/>
        </w:rPr>
      </w:pPr>
      <w:r>
        <w:rPr>
          <w:b/>
          <w:bCs/>
          <w:caps/>
        </w:rPr>
        <w:t>LIETUVOS RESPUBLIKOS</w:t>
      </w:r>
    </w:p>
    <w:p w:rsidR="00743E3F" w:rsidRDefault="007110BA">
      <w:pPr>
        <w:jc w:val="center"/>
        <w:rPr>
          <w:b/>
          <w:caps/>
        </w:rPr>
      </w:pPr>
      <w:r>
        <w:rPr>
          <w:b/>
          <w:caps/>
        </w:rPr>
        <w:t>APLINKOS APSAUGOS ĮSTATYMO NR. I-2223 32</w:t>
      </w:r>
      <w:r>
        <w:rPr>
          <w:b/>
          <w:caps/>
          <w:vertAlign w:val="superscript"/>
        </w:rPr>
        <w:t>1</w:t>
      </w:r>
      <w:r>
        <w:rPr>
          <w:b/>
          <w:caps/>
        </w:rPr>
        <w:t xml:space="preserve"> IR 32</w:t>
      </w:r>
      <w:r>
        <w:rPr>
          <w:b/>
          <w:caps/>
          <w:vertAlign w:val="superscript"/>
        </w:rPr>
        <w:t>2</w:t>
      </w:r>
      <w:r>
        <w:rPr>
          <w:b/>
          <w:caps/>
        </w:rPr>
        <w:t xml:space="preserve"> STRAIPSNIŲ PAKEITIMO</w:t>
      </w:r>
    </w:p>
    <w:p w:rsidR="00743E3F" w:rsidRDefault="007110BA">
      <w:pPr>
        <w:jc w:val="center"/>
        <w:rPr>
          <w:caps/>
        </w:rPr>
      </w:pPr>
      <w:r>
        <w:rPr>
          <w:b/>
          <w:caps/>
        </w:rPr>
        <w:t>ĮSTATYMAS</w:t>
      </w:r>
    </w:p>
    <w:p w:rsidR="00743E3F" w:rsidRDefault="00743E3F">
      <w:pPr>
        <w:jc w:val="center"/>
        <w:rPr>
          <w:b/>
          <w:caps/>
        </w:rPr>
      </w:pPr>
    </w:p>
    <w:p w:rsidR="00743E3F" w:rsidRDefault="007110BA">
      <w:pPr>
        <w:jc w:val="center"/>
        <w:rPr>
          <w:szCs w:val="24"/>
        </w:rPr>
      </w:pPr>
      <w:r>
        <w:rPr>
          <w:szCs w:val="24"/>
          <w:lang w:val="en-US"/>
        </w:rPr>
        <w:t>2022</w:t>
      </w:r>
      <w:r>
        <w:rPr>
          <w:szCs w:val="24"/>
        </w:rPr>
        <w:t xml:space="preserve"> m. </w:t>
      </w:r>
      <w:proofErr w:type="spellStart"/>
      <w:r>
        <w:rPr>
          <w:szCs w:val="24"/>
          <w:lang w:val="en-US"/>
        </w:rPr>
        <w:t>gruodžio</w:t>
      </w:r>
      <w:proofErr w:type="spellEnd"/>
      <w:r>
        <w:rPr>
          <w:szCs w:val="24"/>
        </w:rPr>
        <w:t xml:space="preserve"> </w:t>
      </w:r>
      <w:r>
        <w:rPr>
          <w:szCs w:val="24"/>
          <w:lang w:val="en-US"/>
        </w:rPr>
        <w:t>23</w:t>
      </w:r>
      <w:r>
        <w:rPr>
          <w:szCs w:val="24"/>
        </w:rPr>
        <w:t xml:space="preserve"> d. Nr. </w:t>
      </w:r>
      <w:r>
        <w:rPr>
          <w:szCs w:val="24"/>
          <w:lang w:val="en-US"/>
        </w:rPr>
        <w:t>XIV-1778</w:t>
      </w:r>
    </w:p>
    <w:p w:rsidR="00743E3F" w:rsidRDefault="007110BA">
      <w:pPr>
        <w:jc w:val="center"/>
        <w:rPr>
          <w:szCs w:val="24"/>
        </w:rPr>
      </w:pPr>
      <w:r>
        <w:rPr>
          <w:szCs w:val="24"/>
        </w:rPr>
        <w:t>Vilnius</w:t>
      </w:r>
    </w:p>
    <w:p w:rsidR="00743E3F" w:rsidRDefault="00743E3F">
      <w:pPr>
        <w:jc w:val="center"/>
        <w:rPr>
          <w:sz w:val="22"/>
        </w:rPr>
      </w:pPr>
    </w:p>
    <w:p w:rsidR="00743E3F" w:rsidRDefault="00743E3F">
      <w:pPr>
        <w:spacing w:line="360" w:lineRule="auto"/>
        <w:ind w:firstLine="720"/>
        <w:jc w:val="both"/>
        <w:rPr>
          <w:sz w:val="16"/>
          <w:szCs w:val="16"/>
        </w:rPr>
      </w:pPr>
    </w:p>
    <w:p w:rsidR="00743E3F" w:rsidRDefault="00743E3F">
      <w:pPr>
        <w:spacing w:line="360" w:lineRule="auto"/>
        <w:ind w:firstLine="720"/>
        <w:jc w:val="both"/>
        <w:sectPr w:rsidR="00743E3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rsidR="00743E3F" w:rsidRDefault="00743E3F">
      <w:pPr>
        <w:tabs>
          <w:tab w:val="center" w:pos="4153"/>
          <w:tab w:val="right" w:pos="8306"/>
        </w:tabs>
        <w:rPr>
          <w:rFonts w:ascii="TimesLT" w:hAnsi="TimesLT"/>
          <w:lang w:val="en-US"/>
        </w:rPr>
      </w:pPr>
    </w:p>
    <w:p w:rsidR="00743E3F" w:rsidRDefault="007110BA">
      <w:pPr>
        <w:tabs>
          <w:tab w:val="center" w:pos="4819"/>
          <w:tab w:val="right" w:pos="9638"/>
        </w:tabs>
        <w:spacing w:line="360" w:lineRule="auto"/>
        <w:ind w:firstLine="720"/>
        <w:rPr>
          <w:b/>
          <w:bCs/>
          <w:szCs w:val="24"/>
          <w:lang w:eastAsia="en-GB"/>
        </w:rPr>
      </w:pPr>
      <w:r>
        <w:rPr>
          <w:b/>
          <w:bCs/>
          <w:spacing w:val="-10"/>
          <w:szCs w:val="24"/>
          <w:lang w:eastAsia="en-GB"/>
        </w:rPr>
        <w:t>1</w:t>
      </w:r>
      <w:r>
        <w:rPr>
          <w:b/>
          <w:bCs/>
          <w:szCs w:val="24"/>
          <w:lang w:eastAsia="en-GB"/>
        </w:rPr>
        <w:t xml:space="preserve"> straipsnis. </w:t>
      </w:r>
      <w:r>
        <w:rPr>
          <w:b/>
          <w:bCs/>
          <w:szCs w:val="24"/>
          <w:lang w:eastAsia="en-GB"/>
        </w:rPr>
        <w:t>32</w:t>
      </w:r>
      <w:r>
        <w:rPr>
          <w:b/>
          <w:bCs/>
          <w:szCs w:val="24"/>
          <w:vertAlign w:val="superscript"/>
          <w:lang w:eastAsia="en-GB"/>
        </w:rPr>
        <w:t>1</w:t>
      </w:r>
      <w:r>
        <w:rPr>
          <w:b/>
          <w:bCs/>
          <w:szCs w:val="24"/>
          <w:lang w:eastAsia="en-GB"/>
        </w:rPr>
        <w:t xml:space="preserve"> straipsnio pakeitimas</w:t>
      </w:r>
    </w:p>
    <w:p w:rsidR="00743E3F" w:rsidRDefault="007110BA">
      <w:pPr>
        <w:spacing w:line="360" w:lineRule="auto"/>
        <w:ind w:firstLine="720"/>
        <w:jc w:val="both"/>
        <w:rPr>
          <w:bCs/>
          <w:szCs w:val="24"/>
          <w:lang w:eastAsia="en-GB"/>
        </w:rPr>
      </w:pPr>
      <w:r>
        <w:rPr>
          <w:bCs/>
          <w:szCs w:val="24"/>
          <w:lang w:eastAsia="en-GB"/>
        </w:rPr>
        <w:t>1</w:t>
      </w:r>
      <w:r>
        <w:rPr>
          <w:bCs/>
          <w:szCs w:val="24"/>
          <w:lang w:eastAsia="en-GB"/>
        </w:rPr>
        <w:t>. Pakeisti 32</w:t>
      </w:r>
      <w:r>
        <w:rPr>
          <w:bCs/>
          <w:szCs w:val="24"/>
          <w:vertAlign w:val="superscript"/>
          <w:lang w:eastAsia="en-GB"/>
        </w:rPr>
        <w:t>1</w:t>
      </w:r>
      <w:r>
        <w:rPr>
          <w:bCs/>
          <w:szCs w:val="24"/>
          <w:lang w:eastAsia="en-GB"/>
        </w:rPr>
        <w:t xml:space="preserve"> straipsnio 3 dalies 5 punktą ir jį išdėstyti taip:</w:t>
      </w:r>
    </w:p>
    <w:p w:rsidR="00743E3F" w:rsidRDefault="007110BA">
      <w:pPr>
        <w:spacing w:line="360" w:lineRule="auto"/>
        <w:ind w:firstLine="720"/>
        <w:jc w:val="both"/>
        <w:rPr>
          <w:szCs w:val="24"/>
        </w:rPr>
      </w:pPr>
      <w:r>
        <w:rPr>
          <w:bCs/>
          <w:szCs w:val="24"/>
          <w:lang w:eastAsia="en-GB"/>
        </w:rPr>
        <w:t>„</w:t>
      </w:r>
      <w:r>
        <w:rPr>
          <w:bCs/>
          <w:szCs w:val="24"/>
          <w:lang w:eastAsia="en-GB"/>
        </w:rPr>
        <w:t>5</w:t>
      </w:r>
      <w:r>
        <w:rPr>
          <w:bCs/>
          <w:szCs w:val="24"/>
          <w:lang w:eastAsia="en-GB"/>
        </w:rPr>
        <w:t xml:space="preserve">) </w:t>
      </w:r>
      <w:r>
        <w:rPr>
          <w:bCs/>
          <w:szCs w:val="24"/>
        </w:rPr>
        <w:t>šio straipsnio 4 dalyje nustatytais atvejais informuoti savivaldybės vykdomąją instituciją ir (arba) valstybės inst</w:t>
      </w:r>
      <w:r>
        <w:rPr>
          <w:bCs/>
          <w:szCs w:val="24"/>
        </w:rPr>
        <w:t>ituciją pagal kompetenciją apie būtinybę taikyti būtinas žalos aplinkai prevencijos priemones ir (ar) veiksmus, užtikrinančius</w:t>
      </w:r>
      <w:r>
        <w:rPr>
          <w:szCs w:val="24"/>
        </w:rPr>
        <w:t xml:space="preserve"> teršalų ir (arba) kitokių darančių žalą aplinkai veiksnių skubią kontrolę, sulaikymą, pašalinimą ar kitokį valdymą siekiant sumaž</w:t>
      </w:r>
      <w:r>
        <w:rPr>
          <w:szCs w:val="24"/>
        </w:rPr>
        <w:t xml:space="preserve">inti ar išvengti didesnės žalos aplinkai, neigiamo poveikio žmonių sveikatai </w:t>
      </w:r>
      <w:r>
        <w:rPr>
          <w:bCs/>
          <w:szCs w:val="24"/>
        </w:rPr>
        <w:t xml:space="preserve">arba </w:t>
      </w:r>
      <w:r>
        <w:rPr>
          <w:szCs w:val="24"/>
        </w:rPr>
        <w:t xml:space="preserve">aplinkos elementų funkcijų pablogėjimo, ir (arba) aplinkos atkūrimo </w:t>
      </w:r>
      <w:r>
        <w:rPr>
          <w:bCs/>
          <w:szCs w:val="24"/>
        </w:rPr>
        <w:t>priemones.</w:t>
      </w:r>
      <w:r>
        <w:rPr>
          <w:szCs w:val="24"/>
        </w:rPr>
        <w:t>“</w:t>
      </w:r>
    </w:p>
    <w:p w:rsidR="00743E3F" w:rsidRDefault="007110BA">
      <w:pPr>
        <w:spacing w:line="360" w:lineRule="auto"/>
        <w:ind w:firstLine="720"/>
        <w:rPr>
          <w:bCs/>
          <w:szCs w:val="24"/>
          <w:lang w:eastAsia="en-GB"/>
        </w:rPr>
      </w:pPr>
      <w:r>
        <w:rPr>
          <w:bCs/>
          <w:szCs w:val="24"/>
          <w:lang w:eastAsia="en-GB"/>
        </w:rPr>
        <w:t>2</w:t>
      </w:r>
      <w:r>
        <w:rPr>
          <w:bCs/>
          <w:szCs w:val="24"/>
          <w:lang w:eastAsia="en-GB"/>
        </w:rPr>
        <w:t>. Pakeisti 32</w:t>
      </w:r>
      <w:r>
        <w:rPr>
          <w:bCs/>
          <w:szCs w:val="24"/>
          <w:vertAlign w:val="superscript"/>
          <w:lang w:eastAsia="en-GB"/>
        </w:rPr>
        <w:t>1</w:t>
      </w:r>
      <w:r>
        <w:rPr>
          <w:bCs/>
          <w:szCs w:val="24"/>
          <w:lang w:eastAsia="en-GB"/>
        </w:rPr>
        <w:t xml:space="preserve"> straipsnio 4 dalį ir ją išdėstyti taip:</w:t>
      </w:r>
    </w:p>
    <w:p w:rsidR="00743E3F" w:rsidRDefault="007110BA">
      <w:pPr>
        <w:spacing w:line="360" w:lineRule="auto"/>
        <w:ind w:firstLine="720"/>
        <w:jc w:val="both"/>
        <w:rPr>
          <w:bCs/>
          <w:szCs w:val="24"/>
          <w:lang w:eastAsia="en-GB"/>
        </w:rPr>
      </w:pPr>
      <w:r>
        <w:rPr>
          <w:bCs/>
          <w:szCs w:val="24"/>
          <w:lang w:eastAsia="en-GB"/>
        </w:rPr>
        <w:t>„</w:t>
      </w:r>
      <w:r>
        <w:rPr>
          <w:szCs w:val="24"/>
        </w:rPr>
        <w:t xml:space="preserve">Jeigu ūkio subjektas nevykdo </w:t>
      </w:r>
      <w:r>
        <w:rPr>
          <w:szCs w:val="24"/>
        </w:rPr>
        <w:t>šiame straipsnyje nustatytų pareigų taikyti žalos aplinkai prevencijos priemones, būtinus veiksmus, užtikrinančius teršalų ir (arba) kitokių darančių žalą aplinkai veiksnių skubią kontrolę, sulaikymą, pašalinimą ar kitokį valdymą siekiant sumažinti ar išve</w:t>
      </w:r>
      <w:r>
        <w:rPr>
          <w:szCs w:val="24"/>
        </w:rPr>
        <w:t xml:space="preserve">ngti didesnės žalos aplinkai, neigiamo poveikio žmonių sveikatai ar tolesnio aplinkos elementų funkcijų pablogėjimo, ar neprivalo atlyginti žalos aplinkai prevencijos priemonių išlaidų arba </w:t>
      </w:r>
      <w:r>
        <w:rPr>
          <w:bCs/>
          <w:szCs w:val="24"/>
        </w:rPr>
        <w:t>nenustatytas</w:t>
      </w:r>
      <w:r>
        <w:rPr>
          <w:szCs w:val="24"/>
        </w:rPr>
        <w:t xml:space="preserve"> atsakingas už žalą aplinkai asmuo, </w:t>
      </w:r>
      <w:r>
        <w:rPr>
          <w:bCs/>
          <w:szCs w:val="24"/>
        </w:rPr>
        <w:t>arba atsakingas už</w:t>
      </w:r>
      <w:r>
        <w:rPr>
          <w:bCs/>
          <w:szCs w:val="24"/>
        </w:rPr>
        <w:t xml:space="preserve"> žalą aplinkai juridinis asmuo išregistruotas iš Juridinių asmenų registro ar fizinis asmuo miręs,</w:t>
      </w:r>
      <w:r>
        <w:rPr>
          <w:szCs w:val="24"/>
        </w:rPr>
        <w:t xml:space="preserve"> savivaldybės </w:t>
      </w:r>
      <w:r>
        <w:rPr>
          <w:bCs/>
          <w:szCs w:val="24"/>
        </w:rPr>
        <w:t>vykdomoji institucija</w:t>
      </w:r>
      <w:r>
        <w:rPr>
          <w:szCs w:val="24"/>
        </w:rPr>
        <w:t xml:space="preserve"> ir (arba) valstybės institucijos pagal kompetenciją pačios ar per trečiuosius asmenis </w:t>
      </w:r>
      <w:r>
        <w:rPr>
          <w:bCs/>
          <w:szCs w:val="24"/>
        </w:rPr>
        <w:t>taiko</w:t>
      </w:r>
      <w:r>
        <w:rPr>
          <w:szCs w:val="24"/>
        </w:rPr>
        <w:t xml:space="preserve"> būtinas priemones. </w:t>
      </w:r>
      <w:r>
        <w:rPr>
          <w:bCs/>
          <w:szCs w:val="24"/>
        </w:rPr>
        <w:t xml:space="preserve">Jeigu ūkio </w:t>
      </w:r>
      <w:r>
        <w:rPr>
          <w:bCs/>
          <w:szCs w:val="24"/>
        </w:rPr>
        <w:t>subjektas nevykdo šiame straipsnyje nustatytų pareigų taikyti aplinkos atkūrimo priemones ar neprivalo atlyginti aplinkos atkūrimo priemonių išlaidų arba nenustatytas atsakingas už žalą aplinkai asmuo, arba atsakingas už žalą aplinkai juridinis asmuo išreg</w:t>
      </w:r>
      <w:r>
        <w:rPr>
          <w:bCs/>
          <w:szCs w:val="24"/>
        </w:rPr>
        <w:t>istruotas iš Juridinių asmenų registro ar fizinis asmuo miręs, savivaldybės vykdomoji institucija pati ar per trečiuosius asmenis organizuoja ir (arba) taiko būtinas aplinkos atkūrimo priemones.</w:t>
      </w:r>
      <w:r>
        <w:rPr>
          <w:szCs w:val="24"/>
        </w:rPr>
        <w:t>“</w:t>
      </w:r>
    </w:p>
    <w:p w:rsidR="00743E3F" w:rsidRDefault="007110BA">
      <w:pPr>
        <w:spacing w:line="360" w:lineRule="auto"/>
        <w:ind w:firstLine="720"/>
        <w:jc w:val="both"/>
        <w:rPr>
          <w:bCs/>
          <w:szCs w:val="24"/>
          <w:lang w:eastAsia="en-GB"/>
        </w:rPr>
      </w:pPr>
    </w:p>
    <w:p w:rsidR="00743E3F" w:rsidRDefault="007110BA">
      <w:pPr>
        <w:spacing w:line="360" w:lineRule="auto"/>
        <w:ind w:firstLine="720"/>
        <w:jc w:val="both"/>
        <w:rPr>
          <w:b/>
          <w:szCs w:val="24"/>
          <w:lang w:eastAsia="en-GB"/>
        </w:rPr>
      </w:pPr>
      <w:r>
        <w:rPr>
          <w:b/>
          <w:szCs w:val="24"/>
          <w:lang w:eastAsia="en-GB"/>
        </w:rPr>
        <w:t>2</w:t>
      </w:r>
      <w:r>
        <w:rPr>
          <w:b/>
          <w:szCs w:val="24"/>
          <w:lang w:eastAsia="en-GB"/>
        </w:rPr>
        <w:t xml:space="preserve"> straipsnis. </w:t>
      </w:r>
      <w:r>
        <w:rPr>
          <w:b/>
          <w:szCs w:val="24"/>
          <w:lang w:eastAsia="en-GB"/>
        </w:rPr>
        <w:t>32</w:t>
      </w:r>
      <w:r>
        <w:rPr>
          <w:b/>
          <w:szCs w:val="24"/>
          <w:vertAlign w:val="superscript"/>
          <w:lang w:eastAsia="en-GB"/>
        </w:rPr>
        <w:t>2</w:t>
      </w:r>
      <w:r>
        <w:rPr>
          <w:b/>
          <w:szCs w:val="24"/>
          <w:lang w:eastAsia="en-GB"/>
        </w:rPr>
        <w:t xml:space="preserve"> straipsnio pakeitimas</w:t>
      </w:r>
    </w:p>
    <w:p w:rsidR="00743E3F" w:rsidRDefault="007110BA">
      <w:pPr>
        <w:spacing w:line="360" w:lineRule="auto"/>
        <w:ind w:firstLine="720"/>
        <w:jc w:val="both"/>
        <w:rPr>
          <w:bCs/>
          <w:szCs w:val="24"/>
          <w:lang w:eastAsia="en-GB"/>
        </w:rPr>
      </w:pPr>
      <w:r>
        <w:rPr>
          <w:bCs/>
          <w:szCs w:val="24"/>
          <w:lang w:eastAsia="en-GB"/>
        </w:rPr>
        <w:t>Pakeisti 32</w:t>
      </w:r>
      <w:r>
        <w:rPr>
          <w:bCs/>
          <w:szCs w:val="24"/>
          <w:vertAlign w:val="superscript"/>
          <w:lang w:eastAsia="en-GB"/>
        </w:rPr>
        <w:t>2</w:t>
      </w:r>
      <w:r>
        <w:rPr>
          <w:bCs/>
          <w:szCs w:val="24"/>
          <w:lang w:eastAsia="en-GB"/>
        </w:rPr>
        <w:t xml:space="preserve"> straipsnio 1 dalį ir ją išdėstyti taip:</w:t>
      </w:r>
    </w:p>
    <w:p w:rsidR="00743E3F" w:rsidRDefault="007110BA">
      <w:pPr>
        <w:spacing w:line="360" w:lineRule="auto"/>
        <w:ind w:firstLine="720"/>
        <w:jc w:val="both"/>
        <w:rPr>
          <w:bCs/>
          <w:szCs w:val="24"/>
          <w:lang w:eastAsia="en-GB"/>
        </w:rPr>
      </w:pPr>
      <w:r>
        <w:rPr>
          <w:bCs/>
          <w:szCs w:val="24"/>
          <w:lang w:eastAsia="en-GB"/>
        </w:rPr>
        <w:t>„</w:t>
      </w:r>
      <w:r>
        <w:rPr>
          <w:szCs w:val="24"/>
          <w:shd w:val="clear" w:color="auto" w:fill="FFFFFF"/>
        </w:rPr>
        <w:t>Visas žalos aplinkai prevencijos priemonių, veiksmų, užtikrinančių teršalų ir (arba) kitokių darančių žalą aplinkai veiksnių skubią kontrolę, sulaikymą, pašalinimą ar kitokį valdymą siekiant sumažinti a</w:t>
      </w:r>
      <w:r>
        <w:rPr>
          <w:szCs w:val="24"/>
          <w:shd w:val="clear" w:color="auto" w:fill="FFFFFF"/>
        </w:rPr>
        <w:t>r išvengti didesnės žalos aplinkai, neigiamo poveikio žmonių sveikatai ar tolesnio aplinkos elementų funkcijų pablogėjimo, ir (arba) aplinkos atkūrimo priemonių išlaidas ir kitus susijusiu</w:t>
      </w:r>
      <w:bookmarkStart w:id="0" w:name="_GoBack"/>
      <w:bookmarkEnd w:id="0"/>
      <w:r>
        <w:rPr>
          <w:szCs w:val="24"/>
          <w:shd w:val="clear" w:color="auto" w:fill="FFFFFF"/>
        </w:rPr>
        <w:t>s nuostolius, nurodytus šio įstatymo 33 straipsnio 2 dalyje, atlygin</w:t>
      </w:r>
      <w:r>
        <w:rPr>
          <w:szCs w:val="24"/>
          <w:shd w:val="clear" w:color="auto" w:fill="FFFFFF"/>
        </w:rPr>
        <w:t xml:space="preserve">a ūkio subjektas, padaręs žalą aplinkai arba sukėlęs neišvengiamą (realią) žalos aplinkai grėsmę, net ir tais atvejais, kai atitinkamas priemones vykdė savivaldybės </w:t>
      </w:r>
      <w:r>
        <w:rPr>
          <w:bCs/>
          <w:szCs w:val="24"/>
          <w:shd w:val="clear" w:color="auto" w:fill="FFFFFF"/>
        </w:rPr>
        <w:t>vykdomoji</w:t>
      </w:r>
      <w:r>
        <w:rPr>
          <w:szCs w:val="24"/>
          <w:shd w:val="clear" w:color="auto" w:fill="FFFFFF"/>
        </w:rPr>
        <w:t xml:space="preserve"> </w:t>
      </w:r>
      <w:r>
        <w:rPr>
          <w:bCs/>
          <w:szCs w:val="24"/>
          <w:shd w:val="clear" w:color="auto" w:fill="FFFFFF"/>
        </w:rPr>
        <w:t>institucija</w:t>
      </w:r>
      <w:r>
        <w:rPr>
          <w:szCs w:val="24"/>
          <w:shd w:val="clear" w:color="auto" w:fill="FFFFFF"/>
        </w:rPr>
        <w:t xml:space="preserve"> arba valstybės institucijos </w:t>
      </w:r>
      <w:r>
        <w:rPr>
          <w:bCs/>
          <w:szCs w:val="24"/>
          <w:shd w:val="clear" w:color="auto" w:fill="FFFFFF"/>
        </w:rPr>
        <w:t>pagal kompetenciją</w:t>
      </w:r>
      <w:r>
        <w:rPr>
          <w:szCs w:val="24"/>
          <w:shd w:val="clear" w:color="auto" w:fill="FFFFFF"/>
        </w:rPr>
        <w:t xml:space="preserve"> (pačios ar per trečiuo</w:t>
      </w:r>
      <w:r>
        <w:rPr>
          <w:szCs w:val="24"/>
          <w:shd w:val="clear" w:color="auto" w:fill="FFFFFF"/>
        </w:rPr>
        <w:t xml:space="preserve">sius asmenis). Savivaldybės </w:t>
      </w:r>
      <w:r>
        <w:rPr>
          <w:bCs/>
          <w:szCs w:val="24"/>
          <w:shd w:val="clear" w:color="auto" w:fill="FFFFFF"/>
        </w:rPr>
        <w:t>vykdomoji institucija</w:t>
      </w:r>
      <w:r>
        <w:rPr>
          <w:szCs w:val="24"/>
          <w:shd w:val="clear" w:color="auto" w:fill="FFFFFF"/>
        </w:rPr>
        <w:t xml:space="preserve"> arba valstybės institucijos </w:t>
      </w:r>
      <w:r>
        <w:rPr>
          <w:bCs/>
          <w:szCs w:val="24"/>
          <w:shd w:val="clear" w:color="auto" w:fill="FFFFFF"/>
        </w:rPr>
        <w:t>pagal kompetenciją</w:t>
      </w:r>
      <w:r>
        <w:rPr>
          <w:szCs w:val="24"/>
          <w:shd w:val="clear" w:color="auto" w:fill="FFFFFF"/>
        </w:rPr>
        <w:t xml:space="preserve"> iš ūkio subjekto, padariusio žalą aplinkai arba sukėlusio neišvengiamą (realią) žalos aplinkai grėsmę, susigrąžina išlaidas, kurias jos patyrė dėl žalos aplink</w:t>
      </w:r>
      <w:r>
        <w:rPr>
          <w:szCs w:val="24"/>
          <w:shd w:val="clear" w:color="auto" w:fill="FFFFFF"/>
        </w:rPr>
        <w:t>ai prevencijos priemonių, veiksmų, užtikrinančių teršalų ir (arba) kitokių darančių žalą aplinkai veiksnių skubią kontrolę, sulaikymą, pašalinimą ar kitokį valdymą siekiant sumažinti ar išvengti didesnės žalos aplinkai, neigiamo poveikio žmonių sveikatai a</w:t>
      </w:r>
      <w:r>
        <w:rPr>
          <w:szCs w:val="24"/>
          <w:shd w:val="clear" w:color="auto" w:fill="FFFFFF"/>
        </w:rPr>
        <w:t xml:space="preserve">r tolesnio aplinkos elementų funkcijų pablogėjimo, ir (arba) aplinkos atkūrimo priemonių vykdymo ir kitus nuostolius, nurodytus šio įstatymo 33 straipsnio 2 dalyje. Jeigu ūkio subjektas pateikia prievolės atlyginti šias išlaidas ir nuostolius užtikrinimą, </w:t>
      </w:r>
      <w:r>
        <w:rPr>
          <w:szCs w:val="24"/>
          <w:shd w:val="clear" w:color="auto" w:fill="FFFFFF"/>
        </w:rPr>
        <w:t xml:space="preserve">savivaldybės </w:t>
      </w:r>
      <w:r>
        <w:rPr>
          <w:bCs/>
          <w:szCs w:val="24"/>
          <w:shd w:val="clear" w:color="auto" w:fill="FFFFFF"/>
        </w:rPr>
        <w:t>vykdomoji institucija</w:t>
      </w:r>
      <w:r>
        <w:rPr>
          <w:szCs w:val="24"/>
          <w:shd w:val="clear" w:color="auto" w:fill="FFFFFF"/>
        </w:rPr>
        <w:t xml:space="preserve"> arba valstybės institucijos </w:t>
      </w:r>
      <w:r>
        <w:rPr>
          <w:bCs/>
          <w:szCs w:val="24"/>
          <w:shd w:val="clear" w:color="auto" w:fill="FFFFFF"/>
        </w:rPr>
        <w:t>pagal kompetenciją</w:t>
      </w:r>
      <w:r>
        <w:rPr>
          <w:szCs w:val="24"/>
          <w:shd w:val="clear" w:color="auto" w:fill="FFFFFF"/>
        </w:rPr>
        <w:t xml:space="preserve"> šias išlaidas ir nuostolius susigrąžina pasinaudodamos pateiktomis prievolės užtikrinimo priemonėmis.“</w:t>
      </w:r>
    </w:p>
    <w:p w:rsidR="00743E3F" w:rsidRDefault="007110BA">
      <w:pPr>
        <w:spacing w:line="360" w:lineRule="auto"/>
        <w:ind w:firstLine="720"/>
        <w:jc w:val="both"/>
      </w:pPr>
    </w:p>
    <w:p w:rsidR="00743E3F" w:rsidRDefault="007110BA">
      <w:pPr>
        <w:spacing w:line="360" w:lineRule="auto"/>
        <w:ind w:firstLine="720"/>
        <w:jc w:val="both"/>
        <w:rPr>
          <w:i/>
          <w:szCs w:val="24"/>
        </w:rPr>
      </w:pPr>
      <w:r>
        <w:rPr>
          <w:i/>
          <w:szCs w:val="24"/>
        </w:rPr>
        <w:t>Skelbiu šį Lietuvos Respublikos Seimo priimtą įstatymą.</w:t>
      </w:r>
    </w:p>
    <w:p w:rsidR="00743E3F" w:rsidRDefault="00743E3F">
      <w:pPr>
        <w:spacing w:line="360" w:lineRule="auto"/>
        <w:rPr>
          <w:i/>
          <w:szCs w:val="24"/>
        </w:rPr>
      </w:pPr>
    </w:p>
    <w:p w:rsidR="00743E3F" w:rsidRDefault="00743E3F">
      <w:pPr>
        <w:spacing w:line="360" w:lineRule="auto"/>
        <w:rPr>
          <w:i/>
          <w:szCs w:val="24"/>
        </w:rPr>
      </w:pPr>
    </w:p>
    <w:p w:rsidR="00743E3F" w:rsidRDefault="00743E3F">
      <w:pPr>
        <w:spacing w:line="360" w:lineRule="auto"/>
      </w:pPr>
    </w:p>
    <w:p w:rsidR="00743E3F" w:rsidRDefault="007110BA">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p w:rsidR="00743E3F" w:rsidRDefault="007110BA"/>
    <w:sectPr w:rsidR="00743E3F">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3F" w:rsidRDefault="007110BA">
      <w:pPr>
        <w:rPr>
          <w:rFonts w:ascii="TimesLT" w:hAnsi="TimesLT"/>
          <w:lang w:val="en-US"/>
        </w:rPr>
      </w:pPr>
      <w:r>
        <w:rPr>
          <w:rFonts w:ascii="TimesLT" w:hAnsi="TimesLT"/>
          <w:lang w:val="en-US"/>
        </w:rPr>
        <w:separator/>
      </w:r>
    </w:p>
  </w:endnote>
  <w:endnote w:type="continuationSeparator" w:id="0">
    <w:p w:rsidR="00743E3F" w:rsidRDefault="007110B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3F" w:rsidRDefault="007110B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743E3F" w:rsidRDefault="00743E3F">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3F" w:rsidRDefault="00743E3F">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3F" w:rsidRDefault="00743E3F">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3F" w:rsidRDefault="007110BA">
      <w:pPr>
        <w:rPr>
          <w:rFonts w:ascii="TimesLT" w:hAnsi="TimesLT"/>
          <w:lang w:val="en-US"/>
        </w:rPr>
      </w:pPr>
      <w:r>
        <w:rPr>
          <w:rFonts w:ascii="TimesLT" w:hAnsi="TimesLT"/>
          <w:lang w:val="en-US"/>
        </w:rPr>
        <w:separator/>
      </w:r>
    </w:p>
  </w:footnote>
  <w:footnote w:type="continuationSeparator" w:id="0">
    <w:p w:rsidR="00743E3F" w:rsidRDefault="007110B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3F" w:rsidRDefault="007110B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743E3F" w:rsidRDefault="00743E3F">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3F" w:rsidRDefault="007110BA">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rsidR="00743E3F" w:rsidRDefault="00743E3F">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3F" w:rsidRDefault="00743E3F">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BA"/>
    <w:rsid w:val="00215CBA"/>
    <w:rsid w:val="007110BA"/>
    <w:rsid w:val="00743E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C89FD7-3E36-4412-B5C1-C224F9DC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3515</Characters>
  <Application>Microsoft Office Word</Application>
  <DocSecurity>0</DocSecurity>
  <Lines>29</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4000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2022-12-27T12:08:00Z</dcterms:created>
  <dc:creator>MOZERĖ Dainora</dc:creator>
  <lastModifiedBy>GUMBYTĖ Danguolė</lastModifiedBy>
  <lastPrinted>2022-12-23T09:49:00Z</lastPrinted>
  <dcterms:modified xsi:type="dcterms:W3CDTF">2023-01-04T11:37:00Z</dcterms:modified>
  <revision>3</revision>
</coreProperties>
</file>