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F64D4" w14:textId="77777777" w:rsidR="009B6EED" w:rsidRDefault="009B6EED">
      <w:pPr>
        <w:tabs>
          <w:tab w:val="center" w:pos="4819"/>
          <w:tab w:val="right" w:pos="9638"/>
        </w:tabs>
      </w:pPr>
    </w:p>
    <w:p w14:paraId="72DE0C62" w14:textId="77777777" w:rsidR="009B6EED" w:rsidRDefault="009B6EED">
      <w:pPr>
        <w:widowControl w:val="0"/>
        <w:tabs>
          <w:tab w:val="left" w:pos="4253"/>
        </w:tabs>
        <w:ind w:right="11"/>
        <w:jc w:val="center"/>
        <w:rPr>
          <w:b/>
          <w:spacing w:val="10"/>
          <w:szCs w:val="24"/>
        </w:rPr>
      </w:pPr>
    </w:p>
    <w:p w14:paraId="4B8DF8D9" w14:textId="7993FB4C" w:rsidR="009B6EED" w:rsidRDefault="00D843DA">
      <w:pPr>
        <w:widowControl w:val="0"/>
        <w:tabs>
          <w:tab w:val="left" w:pos="4253"/>
        </w:tabs>
        <w:ind w:right="11"/>
        <w:jc w:val="center"/>
        <w:rPr>
          <w:b/>
          <w:spacing w:val="10"/>
          <w:szCs w:val="24"/>
        </w:rPr>
      </w:pPr>
      <w:r>
        <w:rPr>
          <w:b/>
          <w:noProof/>
          <w:spacing w:val="10"/>
          <w:szCs w:val="24"/>
          <w:lang w:eastAsia="lt-LT"/>
        </w:rPr>
        <w:drawing>
          <wp:inline distT="0" distB="0" distL="0" distR="0" wp14:anchorId="22311E86" wp14:editId="213E9983">
            <wp:extent cx="536575" cy="640080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0703B" w14:textId="77777777" w:rsidR="009B6EED" w:rsidRDefault="009B6EED">
      <w:pPr>
        <w:widowControl w:val="0"/>
        <w:tabs>
          <w:tab w:val="left" w:pos="4253"/>
        </w:tabs>
        <w:ind w:right="11"/>
        <w:jc w:val="center"/>
        <w:rPr>
          <w:b/>
          <w:spacing w:val="10"/>
          <w:szCs w:val="24"/>
        </w:rPr>
      </w:pPr>
    </w:p>
    <w:p w14:paraId="602E4147" w14:textId="77777777" w:rsidR="009B6EED" w:rsidRDefault="009B6EED">
      <w:pPr>
        <w:widowControl w:val="0"/>
        <w:tabs>
          <w:tab w:val="left" w:pos="4253"/>
        </w:tabs>
        <w:ind w:right="11"/>
        <w:jc w:val="center"/>
        <w:rPr>
          <w:b/>
          <w:spacing w:val="10"/>
          <w:szCs w:val="24"/>
        </w:rPr>
      </w:pPr>
    </w:p>
    <w:p w14:paraId="6B16D1AC" w14:textId="77777777" w:rsidR="009B6EED" w:rsidRDefault="00D843DA">
      <w:pPr>
        <w:widowControl w:val="0"/>
        <w:tabs>
          <w:tab w:val="left" w:pos="4253"/>
        </w:tabs>
        <w:ind w:right="11"/>
        <w:jc w:val="center"/>
        <w:rPr>
          <w:b/>
          <w:spacing w:val="10"/>
          <w:szCs w:val="24"/>
        </w:rPr>
      </w:pPr>
      <w:r>
        <w:rPr>
          <w:b/>
          <w:spacing w:val="10"/>
          <w:szCs w:val="24"/>
        </w:rPr>
        <w:t>LIETUVOS RESPUBLIKOS SPECIALIŲJŲ TYRIMŲ TARNYBOS</w:t>
      </w:r>
    </w:p>
    <w:p w14:paraId="6B16D1AD" w14:textId="77777777" w:rsidR="009B6EED" w:rsidRDefault="00D843DA">
      <w:pPr>
        <w:widowControl w:val="0"/>
        <w:tabs>
          <w:tab w:val="left" w:pos="4253"/>
        </w:tabs>
        <w:ind w:right="11"/>
        <w:jc w:val="center"/>
        <w:rPr>
          <w:b/>
          <w:szCs w:val="24"/>
        </w:rPr>
      </w:pPr>
      <w:r>
        <w:rPr>
          <w:b/>
          <w:szCs w:val="24"/>
        </w:rPr>
        <w:t>DIREKTORIUS</w:t>
      </w:r>
    </w:p>
    <w:p w14:paraId="6B16D1AE" w14:textId="1E3766AC" w:rsidR="009B6EED" w:rsidRDefault="009B6EED">
      <w:pPr>
        <w:widowControl w:val="0"/>
        <w:tabs>
          <w:tab w:val="left" w:pos="4253"/>
        </w:tabs>
        <w:spacing w:line="360" w:lineRule="auto"/>
        <w:jc w:val="both"/>
        <w:rPr>
          <w:szCs w:val="24"/>
        </w:rPr>
      </w:pPr>
    </w:p>
    <w:p w14:paraId="6B16D1AF" w14:textId="77777777" w:rsidR="009B6EED" w:rsidRDefault="00D843DA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6B16D1B0" w14:textId="77777777" w:rsidR="009B6EED" w:rsidRDefault="00D843DA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SPECIALIŲJŲ TYRIMŲ TARNYBOS DIREKTORIAUS 2009 M. RUGSĖJO 21 D. ĮSAKYMO NR. 2-232 „DĖL LIETUVOS RESPUBLIKOS SPECIALIŲJŲ TYRIMŲ TARNYBOS DARBO REGLAMENTO </w:t>
      </w:r>
      <w:r>
        <w:rPr>
          <w:b/>
          <w:szCs w:val="24"/>
        </w:rPr>
        <w:t>PATVIRTINIMO“ PAKEITIMO</w:t>
      </w:r>
    </w:p>
    <w:p w14:paraId="122AB9FF" w14:textId="77777777" w:rsidR="009B6EED" w:rsidRDefault="009B6EED">
      <w:pPr>
        <w:widowControl w:val="0"/>
        <w:spacing w:line="360" w:lineRule="auto"/>
        <w:ind w:firstLine="60"/>
        <w:jc w:val="center"/>
        <w:rPr>
          <w:szCs w:val="24"/>
        </w:rPr>
      </w:pPr>
    </w:p>
    <w:p w14:paraId="6B16D1B3" w14:textId="2D64E179" w:rsidR="009B6EED" w:rsidRDefault="00D843DA">
      <w:pPr>
        <w:widowControl w:val="0"/>
        <w:spacing w:line="360" w:lineRule="auto"/>
        <w:ind w:firstLine="60"/>
        <w:jc w:val="center"/>
        <w:rPr>
          <w:szCs w:val="24"/>
        </w:rPr>
      </w:pPr>
      <w:r>
        <w:rPr>
          <w:szCs w:val="24"/>
        </w:rPr>
        <w:t>2015 m. sausio 29  d. Nr</w:t>
      </w:r>
      <w:r>
        <w:t xml:space="preserve"> </w:t>
      </w:r>
      <w:r>
        <w:rPr>
          <w:szCs w:val="24"/>
        </w:rPr>
        <w:t>. 2-54</w:t>
      </w:r>
    </w:p>
    <w:p w14:paraId="6B16D1B4" w14:textId="77777777" w:rsidR="009B6EED" w:rsidRDefault="00D843DA">
      <w:pPr>
        <w:widowControl w:val="0"/>
        <w:spacing w:line="360" w:lineRule="auto"/>
        <w:jc w:val="center"/>
        <w:rPr>
          <w:szCs w:val="24"/>
        </w:rPr>
      </w:pPr>
      <w:r>
        <w:rPr>
          <w:szCs w:val="24"/>
        </w:rPr>
        <w:t>Vilnius</w:t>
      </w:r>
    </w:p>
    <w:p w14:paraId="6B16D1B6" w14:textId="3D7EF1BB" w:rsidR="009B6EED" w:rsidRDefault="009B6EED">
      <w:pPr>
        <w:widowControl w:val="0"/>
        <w:ind w:firstLine="709"/>
        <w:jc w:val="both"/>
        <w:rPr>
          <w:szCs w:val="24"/>
        </w:rPr>
      </w:pPr>
    </w:p>
    <w:p w14:paraId="6B16D1B7" w14:textId="29AE7799" w:rsidR="009B6EED" w:rsidRDefault="00D843DA">
      <w:pPr>
        <w:widowControl w:val="0"/>
        <w:tabs>
          <w:tab w:val="left" w:pos="660"/>
          <w:tab w:val="left" w:pos="810"/>
        </w:tabs>
        <w:spacing w:line="360" w:lineRule="auto"/>
        <w:ind w:firstLine="851"/>
        <w:jc w:val="both"/>
        <w:rPr>
          <w:bCs/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>. P a k e i č i u Lietuvos Respublikos specialiųjų tyrimų tarnybos darbo reglamentą, patvirtintą Lietuvos Respublikos specialiųjų tyrimų tarnybos direktoriaus 2009 m. rugsėjo 21 d. įsakym</w:t>
      </w:r>
      <w:r>
        <w:rPr>
          <w:szCs w:val="24"/>
        </w:rPr>
        <w:t>u Nr. 2-232 „Dėl Lietuvos Respublikos specialiųjų tyrimų tarnybos darbo reglamento patvirtinimo“:</w:t>
      </w:r>
      <w:r>
        <w:rPr>
          <w:bCs/>
          <w:szCs w:val="24"/>
          <w:lang w:eastAsia="lt-LT"/>
        </w:rPr>
        <w:t xml:space="preserve"> </w:t>
      </w:r>
    </w:p>
    <w:p w14:paraId="6B16D1B8" w14:textId="77777777" w:rsidR="009B6EED" w:rsidRDefault="00D843DA">
      <w:pPr>
        <w:widowControl w:val="0"/>
        <w:tabs>
          <w:tab w:val="left" w:pos="660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Papildau 46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punktu:</w:t>
      </w:r>
    </w:p>
    <w:p w14:paraId="6B16D1B9" w14:textId="77777777" w:rsidR="009B6EED" w:rsidRDefault="00D843DA">
      <w:pPr>
        <w:widowControl w:val="0"/>
        <w:tabs>
          <w:tab w:val="left" w:pos="660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46</w:t>
      </w:r>
      <w:r>
        <w:rPr>
          <w:szCs w:val="24"/>
          <w:vertAlign w:val="superscript"/>
        </w:rPr>
        <w:t>1</w:t>
      </w:r>
      <w:r>
        <w:rPr>
          <w:szCs w:val="24"/>
        </w:rPr>
        <w:t>. STT Administravimo valdybos viršininkas pasirašo dokumentus, kuriais asmuo raštu informuojamas apie priėmimą arba atsisak</w:t>
      </w:r>
      <w:r>
        <w:rPr>
          <w:szCs w:val="24"/>
        </w:rPr>
        <w:t>ymą priimti pas STT direktorių ar jo pavaduotojus šio reglamento 108 ir 111 punktų nustatyta tvarka.“</w:t>
      </w:r>
    </w:p>
    <w:p w14:paraId="6B16D1BA" w14:textId="77777777" w:rsidR="009B6EED" w:rsidRDefault="00D843DA">
      <w:pPr>
        <w:widowControl w:val="0"/>
        <w:tabs>
          <w:tab w:val="left" w:pos="709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Išdėstau 108 punktą taip:</w:t>
      </w:r>
    </w:p>
    <w:p w14:paraId="6B16D1BB" w14:textId="77777777" w:rsidR="009B6EED" w:rsidRDefault="00D843DA">
      <w:pPr>
        <w:tabs>
          <w:tab w:val="left" w:pos="562"/>
          <w:tab w:val="left" w:pos="720"/>
        </w:tabs>
        <w:spacing w:line="360" w:lineRule="auto"/>
        <w:ind w:firstLine="851"/>
        <w:jc w:val="both"/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108</w:t>
      </w:r>
      <w:r>
        <w:rPr>
          <w:szCs w:val="24"/>
          <w:lang w:eastAsia="lt-LT"/>
        </w:rPr>
        <w:t>. Asmenys (ne STT darbuotojai) pas STT direktorių ar jo pavaduotojus gali būti priimami su STT įgyvendinamais</w:t>
      </w:r>
      <w:r>
        <w:rPr>
          <w:szCs w:val="24"/>
          <w:lang w:eastAsia="lt-LT"/>
        </w:rPr>
        <w:t xml:space="preserve"> uždaviniais ir vykdomomis funkcijomis susijusiems klausimams aptarti pagal kompetenciją. Asmenys, ketinantys pateikti ar pateikę pranešimą, skundą, prašymą, pareiškimą apie korupciją ar veikas, turinčias korupcinio pobūdžio nusikalstamos veikos požymių, p</w:t>
      </w:r>
      <w:r>
        <w:rPr>
          <w:szCs w:val="24"/>
          <w:lang w:eastAsia="lt-LT"/>
        </w:rPr>
        <w:t>as STT direktorių ar jo pavaduotojus priimami išimtiniais atvejais ir kai asmens keliamiems klausimams išspręsti nepakanka kitiems STT pareigūnams suteiktų įgaliojimų. STT direktorius ar jo pavaduotojai asmenis priima savo darbo vietoje.“</w:t>
      </w:r>
    </w:p>
    <w:p w14:paraId="6B16D1BC" w14:textId="77777777" w:rsidR="009B6EED" w:rsidRDefault="00D843DA">
      <w:pPr>
        <w:tabs>
          <w:tab w:val="left" w:pos="562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Išdė</w:t>
      </w:r>
      <w:r>
        <w:rPr>
          <w:szCs w:val="24"/>
          <w:lang w:eastAsia="lt-LT"/>
        </w:rPr>
        <w:t>stau 110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  <w:lang w:eastAsia="lt-LT"/>
        </w:rPr>
        <w:t>punktą taip:</w:t>
      </w:r>
    </w:p>
    <w:p w14:paraId="6B16D1BD" w14:textId="77777777" w:rsidR="009B6EED" w:rsidRDefault="00D843DA">
      <w:pPr>
        <w:widowControl w:val="0"/>
        <w:tabs>
          <w:tab w:val="left" w:pos="630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110</w:t>
      </w:r>
      <w:r>
        <w:rPr>
          <w:szCs w:val="24"/>
        </w:rPr>
        <w:t>. Asmens priėmimo pas STT direktorių ar jo pavaduotojus trukmė nustatoma atsižvelgiant į klausimo pobūdį ir STT direktoriaus ar jo pavaduotojų užimtumą, paprastai asmeniui skiriant iki 20 minučių laiko.“</w:t>
      </w:r>
    </w:p>
    <w:p w14:paraId="6B16D1BE" w14:textId="77777777" w:rsidR="009B6EED" w:rsidRDefault="00D843DA">
      <w:pPr>
        <w:widowControl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>. Išdėstau 11</w:t>
      </w:r>
      <w:r>
        <w:rPr>
          <w:szCs w:val="24"/>
        </w:rPr>
        <w:t xml:space="preserve">1 punktą taip: </w:t>
      </w:r>
    </w:p>
    <w:p w14:paraId="6B16D1BF" w14:textId="43763A7C" w:rsidR="009B6EED" w:rsidRDefault="00D843DA">
      <w:pPr>
        <w:widowControl w:val="0"/>
        <w:tabs>
          <w:tab w:val="left" w:pos="660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111</w:t>
      </w:r>
      <w:r>
        <w:rPr>
          <w:szCs w:val="24"/>
        </w:rPr>
        <w:t xml:space="preserve">. Asmenys, norintys užsirašyti į priėmimą pas STT direktorių ar jo pavaduotojus, privalo iš anksto užsiregistruoti STT interneto svetainėje nurodytu telefonu arba atvykę į STT adresu: A. Jakšto g. 6, Vilnius. Asmuo apie priėmimą pas </w:t>
      </w:r>
      <w:r>
        <w:rPr>
          <w:szCs w:val="24"/>
        </w:rPr>
        <w:t>STT direktorių ar jo pavaduotojus yra informuojamas žodžiu arba asmens pageidavimu raštu ne vėliau kaip prieš vieną darbo dieną.“</w:t>
      </w:r>
    </w:p>
    <w:p w14:paraId="6B16D1C1" w14:textId="7ED89769" w:rsidR="009B6EED" w:rsidRDefault="00D843DA" w:rsidP="00D843DA">
      <w:pPr>
        <w:tabs>
          <w:tab w:val="left" w:pos="720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 a v e d u Lietuvos Respublikos specialiųjų tyrimų tarnybos (toliau – STT) Administravimo valdybos Bendrajam sky</w:t>
      </w:r>
      <w:r>
        <w:rPr>
          <w:szCs w:val="24"/>
        </w:rPr>
        <w:t>riui šį įsakymą paskelbti Teisės aktų registre, o STT Viešųjų ryšių skyriui – STT interneto svetainėje.</w:t>
      </w:r>
    </w:p>
    <w:bookmarkStart w:id="0" w:name="_GoBack" w:displacedByCustomXml="prev"/>
    <w:p w14:paraId="666C2834" w14:textId="77777777" w:rsidR="00D843DA" w:rsidRDefault="00D843DA">
      <w:pPr>
        <w:widowControl w:val="0"/>
        <w:spacing w:line="360" w:lineRule="auto"/>
        <w:jc w:val="both"/>
      </w:pPr>
    </w:p>
    <w:p w14:paraId="22BDE234" w14:textId="77777777" w:rsidR="00D843DA" w:rsidRDefault="00D843DA">
      <w:pPr>
        <w:widowControl w:val="0"/>
        <w:spacing w:line="360" w:lineRule="auto"/>
        <w:jc w:val="both"/>
      </w:pPr>
    </w:p>
    <w:p w14:paraId="6B16D1C3" w14:textId="699BBCEE" w:rsidR="009B6EED" w:rsidRDefault="00D843DA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Saulius Urbanavičius</w:t>
      </w:r>
    </w:p>
    <w:p w14:paraId="6B16D1C4" w14:textId="59572980" w:rsidR="009B6EED" w:rsidRDefault="00D843DA">
      <w:pPr>
        <w:widowControl w:val="0"/>
        <w:spacing w:line="360" w:lineRule="auto"/>
        <w:rPr>
          <w:szCs w:val="24"/>
        </w:rPr>
      </w:pPr>
    </w:p>
    <w:bookmarkEnd w:id="0" w:displacedByCustomXml="next"/>
    <w:sectPr w:rsidR="009B6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D1C9" w14:textId="77777777" w:rsidR="009B6EED" w:rsidRDefault="00D843DA">
      <w:pPr>
        <w:widowControl w:val="0"/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separator/>
      </w:r>
    </w:p>
  </w:endnote>
  <w:endnote w:type="continuationSeparator" w:id="0">
    <w:p w14:paraId="6B16D1CA" w14:textId="77777777" w:rsidR="009B6EED" w:rsidRDefault="00D843DA">
      <w:pPr>
        <w:widowControl w:val="0"/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D1CE" w14:textId="77777777" w:rsidR="009B6EED" w:rsidRDefault="009B6EED">
    <w:pPr>
      <w:widowControl w:val="0"/>
      <w:tabs>
        <w:tab w:val="center" w:pos="4819"/>
        <w:tab w:val="right" w:pos="9638"/>
      </w:tabs>
      <w:rPr>
        <w:rFonts w:ascii="TimesLT" w:hAnsi="TimesLT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D1CF" w14:textId="77777777" w:rsidR="009B6EED" w:rsidRDefault="009B6EED">
    <w:pPr>
      <w:widowControl w:val="0"/>
      <w:tabs>
        <w:tab w:val="center" w:pos="4819"/>
        <w:tab w:val="right" w:pos="9638"/>
      </w:tabs>
      <w:rPr>
        <w:rFonts w:ascii="TimesLT" w:hAnsi="TimesLT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D1D1" w14:textId="77777777" w:rsidR="009B6EED" w:rsidRDefault="009B6EED">
    <w:pPr>
      <w:widowControl w:val="0"/>
      <w:tabs>
        <w:tab w:val="center" w:pos="4819"/>
        <w:tab w:val="right" w:pos="9638"/>
      </w:tabs>
      <w:rPr>
        <w:rFonts w:ascii="TimesLT" w:hAnsi="TimesL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6D1C7" w14:textId="77777777" w:rsidR="009B6EED" w:rsidRDefault="00D843DA">
      <w:pPr>
        <w:widowControl w:val="0"/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separator/>
      </w:r>
    </w:p>
  </w:footnote>
  <w:footnote w:type="continuationSeparator" w:id="0">
    <w:p w14:paraId="6B16D1C8" w14:textId="77777777" w:rsidR="009B6EED" w:rsidRDefault="00D843DA">
      <w:pPr>
        <w:widowControl w:val="0"/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D1CB" w14:textId="77777777" w:rsidR="009B6EED" w:rsidRDefault="009B6EED">
    <w:pPr>
      <w:widowControl w:val="0"/>
      <w:tabs>
        <w:tab w:val="center" w:pos="4819"/>
        <w:tab w:val="right" w:pos="9638"/>
      </w:tabs>
      <w:rPr>
        <w:rFonts w:ascii="TimesLT" w:hAnsi="TimesL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D1CC" w14:textId="77777777" w:rsidR="009B6EED" w:rsidRDefault="00D843DA">
    <w:pPr>
      <w:widowControl w:val="0"/>
      <w:tabs>
        <w:tab w:val="center" w:pos="4819"/>
        <w:tab w:val="right" w:pos="9638"/>
      </w:tabs>
      <w:jc w:val="center"/>
      <w:rPr>
        <w:rFonts w:ascii="TimesLT" w:hAnsi="TimesLT"/>
        <w:sz w:val="22"/>
      </w:rPr>
    </w:pPr>
    <w:r>
      <w:rPr>
        <w:rFonts w:ascii="TimesLT" w:hAnsi="TimesLT"/>
        <w:sz w:val="22"/>
      </w:rPr>
      <w:fldChar w:fldCharType="begin"/>
    </w:r>
    <w:r>
      <w:rPr>
        <w:rFonts w:ascii="TimesLT" w:hAnsi="TimesLT"/>
        <w:sz w:val="22"/>
      </w:rPr>
      <w:instrText>PAGE   \* MERGEFORMAT</w:instrText>
    </w:r>
    <w:r>
      <w:rPr>
        <w:rFonts w:ascii="TimesLT" w:hAnsi="TimesLT"/>
        <w:sz w:val="22"/>
      </w:rPr>
      <w:fldChar w:fldCharType="separate"/>
    </w:r>
    <w:r>
      <w:rPr>
        <w:rFonts w:ascii="TimesLT" w:hAnsi="TimesLT"/>
        <w:noProof/>
        <w:sz w:val="22"/>
      </w:rPr>
      <w:t>2</w:t>
    </w:r>
    <w:r>
      <w:rPr>
        <w:rFonts w:ascii="TimesLT" w:hAnsi="TimesLT"/>
        <w:sz w:val="22"/>
      </w:rPr>
      <w:fldChar w:fldCharType="end"/>
    </w:r>
  </w:p>
  <w:p w14:paraId="6B16D1CD" w14:textId="77777777" w:rsidR="009B6EED" w:rsidRDefault="009B6EED">
    <w:pPr>
      <w:widowControl w:val="0"/>
      <w:tabs>
        <w:tab w:val="center" w:pos="4819"/>
        <w:tab w:val="right" w:pos="9638"/>
      </w:tabs>
      <w:rPr>
        <w:rFonts w:ascii="TimesLT" w:hAnsi="TimesLT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D1D0" w14:textId="77777777" w:rsidR="009B6EED" w:rsidRDefault="009B6EED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C"/>
    <w:rsid w:val="009B6EED"/>
    <w:rsid w:val="00D843DA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6D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843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8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843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8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2015-01-29T08:53:00Z</dcterms:created>
  <dc:creator>Henrika</dc:creator>
  <lastModifiedBy>LAUKIONYTĖ Irena</lastModifiedBy>
  <lastPrinted>2015-01-23T14:11:00Z</lastPrinted>
  <dcterms:modified xsi:type="dcterms:W3CDTF">2015-01-29T09:05:00Z</dcterms:modified>
  <revision>3</revision>
</coreProperties>
</file>