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9E145" w14:textId="2F412901" w:rsidR="00125986" w:rsidRDefault="00125986" w:rsidP="008E6EF1">
      <w:pPr>
        <w:tabs>
          <w:tab w:val="center" w:pos="4153"/>
          <w:tab w:val="right" w:pos="8306"/>
        </w:tabs>
        <w:rPr>
          <w:lang w:eastAsia="lt-LT"/>
        </w:rPr>
      </w:pPr>
    </w:p>
    <w:p w14:paraId="7A09E146" w14:textId="77777777" w:rsidR="00125986" w:rsidRDefault="008E6EF1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7A09E163" wp14:editId="7A09E164">
            <wp:extent cx="594995" cy="626745"/>
            <wp:effectExtent l="0" t="0" r="0" b="190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9E147" w14:textId="77777777" w:rsidR="00125986" w:rsidRDefault="008E6EF1">
      <w:pPr>
        <w:jc w:val="center"/>
        <w:rPr>
          <w:b/>
          <w:lang w:eastAsia="lt-LT"/>
        </w:rPr>
      </w:pPr>
      <w:r>
        <w:rPr>
          <w:b/>
          <w:lang w:eastAsia="lt-LT"/>
        </w:rPr>
        <w:t>LIETUVOS RESPUBLIKOS FINANSŲ MINISTRAS</w:t>
      </w:r>
    </w:p>
    <w:p w14:paraId="7A09E148" w14:textId="77777777" w:rsidR="00125986" w:rsidRDefault="00125986">
      <w:pPr>
        <w:jc w:val="center"/>
        <w:rPr>
          <w:b/>
          <w:lang w:eastAsia="lt-LT"/>
        </w:rPr>
      </w:pPr>
    </w:p>
    <w:p w14:paraId="7A09E149" w14:textId="77777777" w:rsidR="00125986" w:rsidRDefault="008E6EF1">
      <w:pPr>
        <w:jc w:val="center"/>
        <w:rPr>
          <w:b/>
          <w:lang w:eastAsia="lt-LT"/>
        </w:rPr>
      </w:pPr>
      <w:r>
        <w:rPr>
          <w:b/>
          <w:lang w:eastAsia="lt-LT"/>
        </w:rPr>
        <w:t>ĮSAKYMAS</w:t>
      </w:r>
    </w:p>
    <w:p w14:paraId="7A09E14A" w14:textId="77777777" w:rsidR="00125986" w:rsidRDefault="008E6EF1">
      <w:pPr>
        <w:jc w:val="center"/>
        <w:rPr>
          <w:lang w:eastAsia="lt-LT"/>
        </w:rPr>
      </w:pPr>
      <w:r>
        <w:rPr>
          <w:b/>
          <w:lang w:eastAsia="lt-LT"/>
        </w:rPr>
        <w:t xml:space="preserve">DĖL </w:t>
      </w:r>
      <w:r>
        <w:rPr>
          <w:b/>
          <w:szCs w:val="24"/>
          <w:lang w:eastAsia="lt-LT"/>
        </w:rPr>
        <w:t>FINANSŲ MINISTRO 2001 M. VASARIO 28 D. ĮSAKYMO NR. 49 „DĖL LAIKINAI LAISVŲ VALSTYBĖS PINIGINIŲ IŠTEKLIŲ INVESTAVIMO TAISYKLIŲ PATVIRTINIMO“ PAKEITIMO</w:t>
      </w:r>
    </w:p>
    <w:p w14:paraId="7A09E14B" w14:textId="77777777" w:rsidR="00125986" w:rsidRDefault="00125986">
      <w:pPr>
        <w:jc w:val="center"/>
        <w:rPr>
          <w:lang w:eastAsia="lt-LT"/>
        </w:rPr>
      </w:pPr>
    </w:p>
    <w:p w14:paraId="7A09E14C" w14:textId="77777777" w:rsidR="00125986" w:rsidRDefault="008E6EF1">
      <w:pPr>
        <w:jc w:val="center"/>
        <w:rPr>
          <w:lang w:eastAsia="lt-LT"/>
        </w:rPr>
      </w:pPr>
      <w:r>
        <w:rPr>
          <w:lang w:eastAsia="lt-LT"/>
        </w:rPr>
        <w:t>2020 m. sausio 15 d. Nr. 1K-6</w:t>
      </w:r>
    </w:p>
    <w:p w14:paraId="7A09E14D" w14:textId="77777777" w:rsidR="00125986" w:rsidRDefault="008E6EF1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7A09E14E" w14:textId="77777777" w:rsidR="00125986" w:rsidRDefault="00125986">
      <w:pPr>
        <w:jc w:val="center"/>
        <w:rPr>
          <w:lang w:eastAsia="lt-LT"/>
        </w:rPr>
      </w:pPr>
    </w:p>
    <w:p w14:paraId="71CECD5F" w14:textId="77777777" w:rsidR="008E6EF1" w:rsidRDefault="008E6EF1">
      <w:pPr>
        <w:jc w:val="center"/>
        <w:rPr>
          <w:lang w:eastAsia="lt-LT"/>
        </w:rPr>
      </w:pPr>
    </w:p>
    <w:p w14:paraId="7A09E14F" w14:textId="77777777" w:rsidR="00125986" w:rsidRDefault="008E6EF1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 </w:t>
      </w:r>
      <w:r>
        <w:rPr>
          <w:szCs w:val="24"/>
          <w:lang w:eastAsia="lt-LT"/>
        </w:rPr>
        <w:t>a k e i č i u Laikinai laisvų valstybės piniginių išteklių investavimo taisykles, patvirtintas Lietuvos Respublikos finansų ministro 2001 m. vasario 28 d. įsakymu Nr. 49 „Dėl Laikinai laisvų valstybės piniginių išteklių investavimo taisyklių patvirtinimo“:</w:t>
      </w:r>
    </w:p>
    <w:p w14:paraId="7A09E150" w14:textId="77777777" w:rsidR="00125986" w:rsidRDefault="008E6EF1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Pakeičiu 3 punktą ir jį išdėstau taip:</w:t>
      </w:r>
    </w:p>
    <w:p w14:paraId="7A09E151" w14:textId="77777777" w:rsidR="00125986" w:rsidRDefault="008E6EF1">
      <w:pPr>
        <w:ind w:firstLine="567"/>
        <w:jc w:val="both"/>
        <w:rPr>
          <w:color w:val="000000"/>
          <w:lang w:eastAsia="lt-LT"/>
        </w:rPr>
      </w:pPr>
      <w:r>
        <w:rPr>
          <w:szCs w:val="24"/>
          <w:lang w:eastAsia="lt-LT"/>
        </w:rPr>
        <w:t>„</w:t>
      </w:r>
      <w:r>
        <w:rPr>
          <w:color w:val="000000"/>
          <w:lang w:eastAsia="lt-LT"/>
        </w:rPr>
        <w:t>3</w:t>
      </w:r>
      <w:r>
        <w:rPr>
          <w:color w:val="000000"/>
          <w:lang w:eastAsia="lt-LT"/>
        </w:rPr>
        <w:t>. Taisyklių nuostatos netaikomos investuojant savivaldybių biudžetų, savivaldybių įsteigtų pinigų fondų lėšas ir kitus savivaldybių piniginius išteklius. Taisyklių nuostatos netaikomos investuojant Valstyb</w:t>
      </w:r>
      <w:r>
        <w:rPr>
          <w:color w:val="000000"/>
          <w:lang w:eastAsia="lt-LT"/>
        </w:rPr>
        <w:t>inio socialinio draudimo fondo biudžeto lėšas, išskyrus atvejus, kai šios lėšos investuojamos taisyklių 4.2 papunktyje nustatytu atveju ir tvarka.“</w:t>
      </w:r>
    </w:p>
    <w:p w14:paraId="7A09E152" w14:textId="77777777" w:rsidR="00125986" w:rsidRDefault="008E6EF1">
      <w:pPr>
        <w:ind w:firstLine="567"/>
        <w:jc w:val="both"/>
        <w:rPr>
          <w:szCs w:val="24"/>
          <w:lang w:eastAsia="lt-LT"/>
        </w:rPr>
      </w:pPr>
      <w:r>
        <w:rPr>
          <w:color w:val="000000"/>
          <w:lang w:eastAsia="lt-LT"/>
        </w:rPr>
        <w:t>2</w:t>
      </w:r>
      <w:r>
        <w:rPr>
          <w:color w:val="000000"/>
          <w:lang w:eastAsia="lt-LT"/>
        </w:rPr>
        <w:t xml:space="preserve">. </w:t>
      </w:r>
      <w:r>
        <w:rPr>
          <w:szCs w:val="24"/>
          <w:lang w:eastAsia="lt-LT"/>
        </w:rPr>
        <w:t>Pakeičiu 10 punkto pirmąją pastraipą ir ją išdėstau taip:</w:t>
      </w:r>
    </w:p>
    <w:p w14:paraId="7A09E153" w14:textId="77777777" w:rsidR="00125986" w:rsidRDefault="008E6EF1">
      <w:pPr>
        <w:ind w:firstLine="567"/>
        <w:jc w:val="both"/>
        <w:rPr>
          <w:lang w:eastAsia="lt-LT"/>
        </w:rPr>
      </w:pPr>
      <w:r>
        <w:rPr>
          <w:color w:val="000000"/>
          <w:lang w:eastAsia="lt-LT"/>
        </w:rPr>
        <w:t>„</w:t>
      </w:r>
      <w:r>
        <w:rPr>
          <w:lang w:eastAsia="lt-LT"/>
        </w:rPr>
        <w:t>10</w:t>
      </w:r>
      <w:r>
        <w:rPr>
          <w:lang w:eastAsia="lt-LT"/>
        </w:rPr>
        <w:t>. Institucija arba taisyklių 4.2 p</w:t>
      </w:r>
      <w:r>
        <w:rPr>
          <w:lang w:eastAsia="lt-LT"/>
        </w:rPr>
        <w:t>apunktyje nustatyta tvarka Finansų ministerija institucijos valdomus laisvus piniginius išteklius gali investuoti į:“.</w:t>
      </w:r>
    </w:p>
    <w:p w14:paraId="7A09E154" w14:textId="77777777" w:rsidR="00125986" w:rsidRDefault="008E6EF1">
      <w:pPr>
        <w:ind w:firstLine="567"/>
        <w:jc w:val="both"/>
        <w:rPr>
          <w:szCs w:val="24"/>
          <w:lang w:eastAsia="lt-LT"/>
        </w:rPr>
      </w:pPr>
      <w:r>
        <w:rPr>
          <w:color w:val="000000"/>
          <w:lang w:eastAsia="lt-LT"/>
        </w:rPr>
        <w:t>3</w:t>
      </w:r>
      <w:r>
        <w:rPr>
          <w:color w:val="000000"/>
          <w:lang w:eastAsia="lt-LT"/>
        </w:rPr>
        <w:t xml:space="preserve">. </w:t>
      </w:r>
      <w:r>
        <w:rPr>
          <w:szCs w:val="24"/>
          <w:lang w:eastAsia="lt-LT"/>
        </w:rPr>
        <w:t>Pakeičiu 11 punkto pirmąją pastraipą ir ją išdėstau taip:</w:t>
      </w:r>
    </w:p>
    <w:p w14:paraId="7A09E155" w14:textId="77777777" w:rsidR="00125986" w:rsidRDefault="008E6EF1">
      <w:pPr>
        <w:ind w:firstLine="567"/>
        <w:jc w:val="both"/>
        <w:rPr>
          <w:lang w:eastAsia="lt-LT"/>
        </w:rPr>
      </w:pPr>
      <w:r>
        <w:rPr>
          <w:color w:val="000000"/>
          <w:lang w:eastAsia="lt-LT"/>
        </w:rPr>
        <w:t>„</w:t>
      </w:r>
      <w:r>
        <w:rPr>
          <w:lang w:eastAsia="lt-LT"/>
        </w:rPr>
        <w:t>11</w:t>
      </w:r>
      <w:r>
        <w:rPr>
          <w:lang w:eastAsia="lt-LT"/>
        </w:rPr>
        <w:t>. Institucija arba taisyklių 4.2 papunktyje nustatyta tvarka Fi</w:t>
      </w:r>
      <w:r>
        <w:rPr>
          <w:lang w:eastAsia="lt-LT"/>
        </w:rPr>
        <w:t>nansų ministerija institucijos valdomus laisvus piniginius išteklius gali investuoti į taisyklių 10.1–10.3 papunkčiuose nurodytus skolos vertybinius popierius ir pinigų rinkos priemones, jeigu šiame punkte nurodytų skolos vertybinių popierių ir pinigų rink</w:t>
      </w:r>
      <w:r>
        <w:rPr>
          <w:lang w:eastAsia="lt-LT"/>
        </w:rPr>
        <w:t>os priemonių emitentas atitinka taisyklių 15.2, 17.2 papunkčiuose ir 19 punkte nustatytus reitingo reikalavimus (reitingo reikalavimai netaikomi taisyklių 10.2 papunktyje nurodytų priemonių emitentams), ir tik tada, jeigu:“.</w:t>
      </w:r>
    </w:p>
    <w:p w14:paraId="7A09E156" w14:textId="77777777" w:rsidR="00125986" w:rsidRDefault="008E6EF1">
      <w:pPr>
        <w:ind w:firstLine="567"/>
        <w:jc w:val="both"/>
        <w:rPr>
          <w:szCs w:val="24"/>
          <w:lang w:eastAsia="lt-LT"/>
        </w:rPr>
      </w:pPr>
      <w:r>
        <w:rPr>
          <w:color w:val="000000"/>
          <w:lang w:eastAsia="lt-LT"/>
        </w:rPr>
        <w:t>4</w:t>
      </w:r>
      <w:r>
        <w:rPr>
          <w:color w:val="000000"/>
          <w:lang w:eastAsia="lt-LT"/>
        </w:rPr>
        <w:t xml:space="preserve">. </w:t>
      </w:r>
      <w:r>
        <w:rPr>
          <w:szCs w:val="24"/>
          <w:lang w:eastAsia="lt-LT"/>
        </w:rPr>
        <w:t>Pakeičiu 12 punkto p</w:t>
      </w:r>
      <w:r>
        <w:rPr>
          <w:szCs w:val="24"/>
          <w:lang w:eastAsia="lt-LT"/>
        </w:rPr>
        <w:t>irmąją pastraipą ir ją išdėstau taip:</w:t>
      </w:r>
    </w:p>
    <w:p w14:paraId="7A09E157" w14:textId="77777777" w:rsidR="00125986" w:rsidRDefault="008E6EF1">
      <w:pPr>
        <w:ind w:firstLine="567"/>
        <w:jc w:val="both"/>
        <w:rPr>
          <w:lang w:eastAsia="lt-LT"/>
        </w:rPr>
      </w:pPr>
      <w:r>
        <w:rPr>
          <w:color w:val="000000"/>
          <w:lang w:eastAsia="lt-LT"/>
        </w:rPr>
        <w:t>„</w:t>
      </w:r>
      <w:r>
        <w:rPr>
          <w:lang w:eastAsia="lt-LT"/>
        </w:rPr>
        <w:t>12</w:t>
      </w:r>
      <w:r>
        <w:rPr>
          <w:lang w:eastAsia="lt-LT"/>
        </w:rPr>
        <w:t>. Institucija arba taisyklių 4.2 papunktyje nustatyta tvarka Finansų ministerija gali laikyti terminuotąjį indėlį taisyklių 10.5 papunktyje nurodytame banke, jeigu tenkinami šie reikalavimai:“.</w:t>
      </w:r>
    </w:p>
    <w:p w14:paraId="7A09E158" w14:textId="77777777" w:rsidR="00125986" w:rsidRDefault="008E6EF1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Pakeičiu</w:t>
      </w:r>
      <w:r>
        <w:rPr>
          <w:szCs w:val="24"/>
          <w:lang w:eastAsia="lt-LT"/>
        </w:rPr>
        <w:t xml:space="preserve"> 19.1 papunktį ir jį išdėstau taip:</w:t>
      </w:r>
    </w:p>
    <w:p w14:paraId="7A09E159" w14:textId="77777777" w:rsidR="00125986" w:rsidRDefault="008E6EF1">
      <w:pPr>
        <w:ind w:firstLine="567"/>
        <w:jc w:val="both"/>
        <w:rPr>
          <w:lang w:eastAsia="lt-LT"/>
        </w:rPr>
      </w:pPr>
      <w:r>
        <w:rPr>
          <w:color w:val="000000"/>
          <w:lang w:eastAsia="lt-LT"/>
        </w:rPr>
        <w:t>„</w:t>
      </w:r>
      <w:r>
        <w:rPr>
          <w:lang w:eastAsia="lt-LT"/>
        </w:rPr>
        <w:t>19.1</w:t>
      </w:r>
      <w:r>
        <w:rPr>
          <w:lang w:eastAsia="lt-LT"/>
        </w:rPr>
        <w:t>. ne daugiau kaip 50 procentų investavimo dieną esančio (paskutinės oficialiai paskelbtos ataskaitos duomenimis) banko apmokėtojo kapitalo sumos ir ne ilgesniam nei 36 mėnesių terminui, jei bankas turi bent vienos</w:t>
      </w:r>
      <w:r>
        <w:rPr>
          <w:lang w:eastAsia="lt-LT"/>
        </w:rPr>
        <w:t xml:space="preserve"> iš toliau išvardintų reitingų agentūrų suteiktą ilgalaikio mokumo kredito reitingą, ne žemesnį kaip:</w:t>
      </w:r>
    </w:p>
    <w:p w14:paraId="7A09E15A" w14:textId="77777777" w:rsidR="00125986" w:rsidRDefault="008E6EF1">
      <w:pPr>
        <w:ind w:firstLine="567"/>
        <w:jc w:val="both"/>
        <w:rPr>
          <w:lang w:eastAsia="lt-LT"/>
        </w:rPr>
      </w:pPr>
      <w:r>
        <w:rPr>
          <w:lang w:eastAsia="lt-LT"/>
        </w:rPr>
        <w:t>19.1.1</w:t>
      </w:r>
      <w:r>
        <w:rPr>
          <w:lang w:eastAsia="lt-LT"/>
        </w:rPr>
        <w:t>. „</w:t>
      </w:r>
      <w:proofErr w:type="spellStart"/>
      <w:r>
        <w:rPr>
          <w:lang w:eastAsia="lt-LT"/>
        </w:rPr>
        <w:t>Moody’s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Investors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Service</w:t>
      </w:r>
      <w:proofErr w:type="spellEnd"/>
      <w:r>
        <w:rPr>
          <w:lang w:eastAsia="lt-LT"/>
        </w:rPr>
        <w:t>“ Aa3;</w:t>
      </w:r>
    </w:p>
    <w:p w14:paraId="7A09E15B" w14:textId="77777777" w:rsidR="00125986" w:rsidRDefault="008E6EF1">
      <w:pPr>
        <w:ind w:firstLine="567"/>
        <w:jc w:val="both"/>
        <w:rPr>
          <w:lang w:eastAsia="lt-LT"/>
        </w:rPr>
      </w:pPr>
      <w:r>
        <w:rPr>
          <w:lang w:eastAsia="lt-LT"/>
        </w:rPr>
        <w:t>19.1.2</w:t>
      </w:r>
      <w:r>
        <w:rPr>
          <w:lang w:eastAsia="lt-LT"/>
        </w:rPr>
        <w:t xml:space="preserve">. „Standard &amp; </w:t>
      </w:r>
      <w:proofErr w:type="spellStart"/>
      <w:r>
        <w:rPr>
          <w:lang w:eastAsia="lt-LT"/>
        </w:rPr>
        <w:t>Poor’s</w:t>
      </w:r>
      <w:proofErr w:type="spellEnd"/>
      <w:r>
        <w:rPr>
          <w:lang w:eastAsia="lt-LT"/>
        </w:rPr>
        <w:t>“ AA–;</w:t>
      </w:r>
    </w:p>
    <w:p w14:paraId="7A09E15C" w14:textId="77777777" w:rsidR="00125986" w:rsidRDefault="008E6EF1">
      <w:pPr>
        <w:ind w:firstLine="567"/>
        <w:jc w:val="both"/>
        <w:rPr>
          <w:lang w:eastAsia="lt-LT"/>
        </w:rPr>
      </w:pPr>
      <w:r>
        <w:rPr>
          <w:lang w:eastAsia="lt-LT"/>
        </w:rPr>
        <w:t>19.1.3</w:t>
      </w:r>
      <w:r>
        <w:rPr>
          <w:lang w:eastAsia="lt-LT"/>
        </w:rPr>
        <w:t>. „</w:t>
      </w:r>
      <w:proofErr w:type="spellStart"/>
      <w:r>
        <w:rPr>
          <w:lang w:eastAsia="lt-LT"/>
        </w:rPr>
        <w:t>Fitch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Ratings</w:t>
      </w:r>
      <w:proofErr w:type="spellEnd"/>
      <w:r>
        <w:rPr>
          <w:lang w:eastAsia="lt-LT"/>
        </w:rPr>
        <w:t>“ AA–;“.</w:t>
      </w:r>
    </w:p>
    <w:p w14:paraId="7A09E15D" w14:textId="77777777" w:rsidR="00125986" w:rsidRDefault="008E6EF1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 xml:space="preserve">. Pakeičiu 21.2 papunktį ir </w:t>
      </w:r>
      <w:r>
        <w:rPr>
          <w:szCs w:val="24"/>
          <w:lang w:eastAsia="lt-LT"/>
        </w:rPr>
        <w:t>jį</w:t>
      </w:r>
      <w:r>
        <w:rPr>
          <w:lang w:eastAsia="lt-LT"/>
        </w:rPr>
        <w:t xml:space="preserve"> </w:t>
      </w:r>
      <w:r>
        <w:rPr>
          <w:szCs w:val="24"/>
          <w:lang w:eastAsia="lt-LT"/>
        </w:rPr>
        <w:t>išdėstau taip:</w:t>
      </w:r>
    </w:p>
    <w:p w14:paraId="7A09E160" w14:textId="7AD25D78" w:rsidR="00125986" w:rsidRDefault="008E6EF1">
      <w:pPr>
        <w:ind w:firstLine="720"/>
        <w:rPr>
          <w:lang w:eastAsia="lt-LT"/>
        </w:rPr>
      </w:pPr>
      <w:r>
        <w:rPr>
          <w:szCs w:val="24"/>
          <w:lang w:eastAsia="lt-LT"/>
        </w:rPr>
        <w:t>„</w:t>
      </w:r>
      <w:r>
        <w:rPr>
          <w:lang w:eastAsia="lt-LT"/>
        </w:rPr>
        <w:t>21.2</w:t>
      </w:r>
      <w:r>
        <w:rPr>
          <w:lang w:eastAsia="lt-LT"/>
        </w:rPr>
        <w:t>. negali viršyti 30 procentų laisvų piniginių išteklių, jei bankas turi bent vieną reitingą, ne žemesnį už išvardintus taisyklių 19.3 papunktyje;</w:t>
      </w:r>
      <w:r>
        <w:rPr>
          <w:szCs w:val="24"/>
          <w:lang w:eastAsia="lt-LT"/>
        </w:rPr>
        <w:t>“.</w:t>
      </w:r>
    </w:p>
    <w:p w14:paraId="7358B522" w14:textId="77777777" w:rsidR="008E6EF1" w:rsidRDefault="008E6EF1"/>
    <w:p w14:paraId="388939F9" w14:textId="77777777" w:rsidR="008E6EF1" w:rsidRDefault="008E6EF1"/>
    <w:p w14:paraId="0381D915" w14:textId="77777777" w:rsidR="008E6EF1" w:rsidRDefault="008E6EF1"/>
    <w:p w14:paraId="7A09E161" w14:textId="2D29D2D0" w:rsidR="00125986" w:rsidRDefault="008E6EF1">
      <w:pPr>
        <w:rPr>
          <w:szCs w:val="24"/>
          <w:lang w:eastAsia="lt-LT"/>
        </w:rPr>
      </w:pPr>
      <w:r>
        <w:rPr>
          <w:szCs w:val="24"/>
          <w:lang w:eastAsia="lt-LT"/>
        </w:rPr>
        <w:t>Finansų ministras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Vilius Šapoka</w:t>
      </w:r>
    </w:p>
    <w:p w14:paraId="7A09E162" w14:textId="77777777" w:rsidR="00125986" w:rsidRDefault="008E6EF1">
      <w:pPr>
        <w:rPr>
          <w:sz w:val="20"/>
          <w:lang w:eastAsia="lt-LT"/>
        </w:rPr>
      </w:pPr>
    </w:p>
    <w:sectPr w:rsidR="001259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3" w:right="567" w:bottom="993" w:left="1701" w:header="560" w:footer="686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9E167" w14:textId="77777777" w:rsidR="00125986" w:rsidRDefault="008E6EF1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7A09E168" w14:textId="77777777" w:rsidR="00125986" w:rsidRDefault="008E6EF1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9E16D" w14:textId="77777777" w:rsidR="00125986" w:rsidRDefault="00125986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9E16E" w14:textId="77777777" w:rsidR="00125986" w:rsidRDefault="00125986">
    <w:pPr>
      <w:ind w:right="227"/>
      <w:jc w:val="right"/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9E171" w14:textId="77777777" w:rsidR="00125986" w:rsidRDefault="00125986">
    <w:pPr>
      <w:tabs>
        <w:tab w:val="center" w:pos="4153"/>
        <w:tab w:val="right" w:pos="8306"/>
      </w:tabs>
      <w:rPr>
        <w:lang w:eastAsia="lt-LT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9E165" w14:textId="77777777" w:rsidR="00125986" w:rsidRDefault="008E6EF1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7A09E166" w14:textId="77777777" w:rsidR="00125986" w:rsidRDefault="008E6EF1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9E169" w14:textId="77777777" w:rsidR="00125986" w:rsidRDefault="008E6EF1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7A09E16A" w14:textId="77777777" w:rsidR="00125986" w:rsidRDefault="00125986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9E16B" w14:textId="77777777" w:rsidR="00125986" w:rsidRDefault="008E6EF1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7A09E16C" w14:textId="77777777" w:rsidR="00125986" w:rsidRDefault="00125986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9E16F" w14:textId="77777777" w:rsidR="00125986" w:rsidRDefault="00125986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36"/>
    <w:rsid w:val="00125986"/>
    <w:rsid w:val="006A5636"/>
    <w:rsid w:val="008E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9E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2775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2020-01-20T06:43:00Z</dcterms:created>
  <dc:creator>EK</dc:creator>
  <lastModifiedBy>ŠAULYTĖ SKAIRIENĖ Dalia</lastModifiedBy>
  <lastPrinted>2008-12-29T11:20:00Z</lastPrinted>
  <dcterms:modified xsi:type="dcterms:W3CDTF">2020-01-20T07:09:00Z</dcterms:modified>
  <revision>3</revision>
</coreProperties>
</file>