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B921E" w14:textId="77777777" w:rsidR="00807944" w:rsidRDefault="00807944">
      <w:pPr>
        <w:tabs>
          <w:tab w:val="center" w:pos="4153"/>
          <w:tab w:val="right" w:pos="8306"/>
        </w:tabs>
        <w:rPr>
          <w:sz w:val="20"/>
          <w:lang w:eastAsia="lt-LT"/>
        </w:rPr>
      </w:pPr>
    </w:p>
    <w:p w14:paraId="47DB921F" w14:textId="77777777" w:rsidR="00807944" w:rsidRDefault="00724A46">
      <w:pPr>
        <w:tabs>
          <w:tab w:val="center" w:pos="4153"/>
          <w:tab w:val="right" w:pos="830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object w:dxaOrig="753" w:dyaOrig="830" w14:anchorId="47DB9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.5pt;height:41.25pt" o:ole="" fillcolor="window">
            <v:imagedata r:id="rId8" o:title=""/>
          </v:shape>
          <o:OLEObject Type="Embed" ProgID="Word.Picture.8" ShapeID="_x0000_i1030" DrawAspect="Content" ObjectID="_1641894837" r:id="rId9"/>
        </w:object>
      </w:r>
    </w:p>
    <w:p w14:paraId="47DB9220" w14:textId="77777777" w:rsidR="00807944" w:rsidRDefault="00807944">
      <w:pPr>
        <w:tabs>
          <w:tab w:val="center" w:pos="4153"/>
          <w:tab w:val="right" w:pos="8306"/>
        </w:tabs>
        <w:jc w:val="center"/>
        <w:rPr>
          <w:sz w:val="20"/>
          <w:lang w:eastAsia="lt-LT"/>
        </w:rPr>
      </w:pPr>
    </w:p>
    <w:p w14:paraId="47DB9221" w14:textId="77777777" w:rsidR="00807944" w:rsidRDefault="00724A46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LIETUVOS RESPUBLIKOS SUSISIEKIMO MINISTRAS</w:t>
      </w:r>
    </w:p>
    <w:p w14:paraId="47DB9222" w14:textId="77777777" w:rsidR="00807944" w:rsidRDefault="00807944">
      <w:pPr>
        <w:jc w:val="center"/>
        <w:rPr>
          <w:sz w:val="26"/>
          <w:szCs w:val="26"/>
          <w:lang w:eastAsia="lt-LT"/>
        </w:rPr>
      </w:pPr>
    </w:p>
    <w:p w14:paraId="47DB9223" w14:textId="77777777" w:rsidR="00807944" w:rsidRDefault="00724A46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ĮSAKYMAS</w:t>
      </w:r>
    </w:p>
    <w:p w14:paraId="47DB9224" w14:textId="77777777" w:rsidR="00807944" w:rsidRDefault="00724A46">
      <w:pPr>
        <w:keepLines/>
        <w:suppressAutoHyphens/>
        <w:ind w:left="180"/>
        <w:jc w:val="center"/>
        <w:textAlignment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lang w:eastAsia="lt-LT"/>
        </w:rPr>
        <w:t xml:space="preserve">DĖL LIETUVOS RESPUBLIKOS SUSISIEKIMO MINISTRO 2008 M. SPALIO 24 D. ĮSAKYMO NR. 3-406 </w:t>
      </w:r>
      <w:r>
        <w:rPr>
          <w:b/>
          <w:sz w:val="28"/>
          <w:szCs w:val="28"/>
          <w:lang w:eastAsia="lt-LT"/>
        </w:rPr>
        <w:t>„</w:t>
      </w:r>
      <w:r>
        <w:rPr>
          <w:b/>
          <w:bCs/>
          <w:caps/>
          <w:color w:val="000000"/>
          <w:sz w:val="28"/>
          <w:szCs w:val="28"/>
        </w:rPr>
        <w:t xml:space="preserve">DĖL Privalomosios transporto priemonių techninės apžiūros atlikimo tvarkos aprašo </w:t>
      </w:r>
      <w:r>
        <w:rPr>
          <w:b/>
          <w:bCs/>
          <w:caps/>
          <w:color w:val="000000"/>
          <w:sz w:val="28"/>
          <w:szCs w:val="28"/>
        </w:rPr>
        <w:t>patvirtinimo</w:t>
      </w:r>
      <w:r>
        <w:rPr>
          <w:b/>
          <w:sz w:val="28"/>
          <w:szCs w:val="28"/>
          <w:lang w:eastAsia="lt-LT"/>
        </w:rPr>
        <w:t xml:space="preserve">“ PAKEITIMO </w:t>
      </w:r>
    </w:p>
    <w:p w14:paraId="47DB9225" w14:textId="77777777" w:rsidR="00807944" w:rsidRDefault="00807944">
      <w:pPr>
        <w:jc w:val="center"/>
        <w:rPr>
          <w:b/>
          <w:sz w:val="28"/>
          <w:szCs w:val="28"/>
          <w:lang w:eastAsia="lt-LT"/>
        </w:rPr>
      </w:pPr>
    </w:p>
    <w:p w14:paraId="7D072E1C" w14:textId="5713B5D1" w:rsidR="00724A46" w:rsidRDefault="00724A46" w:rsidP="00724A46">
      <w:pPr>
        <w:tabs>
          <w:tab w:val="left" w:pos="1276"/>
        </w:tabs>
        <w:jc w:val="center"/>
        <w:rPr>
          <w:b/>
          <w:sz w:val="26"/>
          <w:lang w:eastAsia="lt-LT"/>
        </w:rPr>
      </w:pPr>
      <w:r>
        <w:rPr>
          <w:lang w:eastAsia="lt-LT"/>
        </w:rPr>
        <w:t>2020 m. sausio 30 d. Nr. 3-62</w:t>
      </w:r>
    </w:p>
    <w:p w14:paraId="47DB9229" w14:textId="77777777" w:rsidR="00807944" w:rsidRDefault="00724A4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7DB922A" w14:textId="77777777" w:rsidR="00807944" w:rsidRDefault="00807944">
      <w:pPr>
        <w:rPr>
          <w:lang w:eastAsia="lt-LT"/>
        </w:rPr>
      </w:pPr>
    </w:p>
    <w:p w14:paraId="47DB922B" w14:textId="77777777" w:rsidR="00807944" w:rsidRDefault="00807944">
      <w:pPr>
        <w:rPr>
          <w:lang w:eastAsia="lt-LT"/>
        </w:rPr>
      </w:pPr>
    </w:p>
    <w:p w14:paraId="47DB922C" w14:textId="36449F48" w:rsidR="00807944" w:rsidRPr="00724A46" w:rsidRDefault="00724A46" w:rsidP="00724A46">
      <w:pPr>
        <w:ind w:firstLine="1276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 a k e i č i u  </w:t>
      </w:r>
      <w:r>
        <w:rPr>
          <w:bCs/>
          <w:szCs w:val="24"/>
        </w:rPr>
        <w:t xml:space="preserve">Privalomosios transporto priemonių techninės apžiūros atlikimo tvarkos aprašą, patvirtintą </w:t>
      </w:r>
      <w:r>
        <w:rPr>
          <w:szCs w:val="24"/>
        </w:rPr>
        <w:t xml:space="preserve">Lietuvos Respublikos susisiekimo ministro 2008 m. spalio 24 d. įsakymu </w:t>
      </w:r>
      <w:r>
        <w:rPr>
          <w:szCs w:val="24"/>
        </w:rPr>
        <w:t>Nr. 3-406 „</w:t>
      </w:r>
      <w:r>
        <w:rPr>
          <w:bCs/>
          <w:szCs w:val="24"/>
        </w:rPr>
        <w:t>Dėl</w:t>
      </w:r>
      <w:r>
        <w:rPr>
          <w:bCs/>
          <w:szCs w:val="24"/>
        </w:rPr>
        <w:t xml:space="preserve"> Privalomosios transporto priemonių techninės apžiūros atlikimo tvarkos aprašo patvirtinimo“:</w:t>
      </w:r>
    </w:p>
    <w:p w14:paraId="47DB922D" w14:textId="77777777" w:rsidR="00807944" w:rsidRDefault="00724A46">
      <w:pPr>
        <w:ind w:firstLine="1276"/>
        <w:jc w:val="both"/>
        <w:rPr>
          <w:szCs w:val="24"/>
          <w:lang w:eastAsia="lt-LT"/>
        </w:rPr>
      </w:pPr>
      <w:r>
        <w:rPr>
          <w:bCs/>
          <w:szCs w:val="24"/>
        </w:rPr>
        <w:t>1.1</w:t>
      </w:r>
      <w:r>
        <w:rPr>
          <w:bCs/>
          <w:szCs w:val="24"/>
        </w:rPr>
        <w:t xml:space="preserve">. Pakeičiu </w:t>
      </w:r>
      <w:r>
        <w:rPr>
          <w:szCs w:val="24"/>
          <w:lang w:eastAsia="lt-LT"/>
        </w:rPr>
        <w:t>20.2 papunktį ir jį išdėstau taip:</w:t>
      </w:r>
    </w:p>
    <w:p w14:paraId="47DB922E" w14:textId="77777777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20.2</w:t>
      </w:r>
      <w:r>
        <w:rPr>
          <w:bCs/>
          <w:szCs w:val="24"/>
        </w:rPr>
        <w:t xml:space="preserve">. transporto priemonių, kuriose sumontuoti potencialiai pavojingi įrenginiai, –potencialiai pavojingų </w:t>
      </w:r>
      <w:r>
        <w:rPr>
          <w:bCs/>
          <w:szCs w:val="24"/>
        </w:rPr>
        <w:t>įrenginių registravimo pažymėjimą, išduotą Valstybinės darbo inspekcijos prie Socialinės apsaugos ir darbo ministerijos, ir įgaliotos įrenginių techninės būklės tikrinimo įstaigos techninės būklės tikrinimo ataskaitą, kuria suteikiama teisė toliau naudotis</w:t>
      </w:r>
      <w:r>
        <w:rPr>
          <w:bCs/>
          <w:szCs w:val="24"/>
        </w:rPr>
        <w:t xml:space="preserve"> ant transporto priemonės sumontuotais didesnės kaip 1 t keliamosios galios strėlinio tipo kranais, kėlimo platformomis žmonėms kelti, taip pat I grupės takiųjų medžiagų talpyklomis</w:t>
      </w:r>
      <w:r>
        <w:rPr>
          <w:b/>
          <w:szCs w:val="24"/>
        </w:rPr>
        <w:t xml:space="preserve"> </w:t>
      </w:r>
      <w:r>
        <w:rPr>
          <w:bCs/>
          <w:szCs w:val="24"/>
        </w:rPr>
        <w:t>ir didesnės kaip 1 m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 xml:space="preserve"> tūrio talpos cisternomis ir jų įranga, skirtais pavo</w:t>
      </w:r>
      <w:r>
        <w:rPr>
          <w:bCs/>
          <w:szCs w:val="24"/>
        </w:rPr>
        <w:t>jingiesiems kroviniams vežti; potencialiai pavojingų įrenginių registravimo pažymėjimo pateikti nebūtina, jeigu įgaliotos įrenginių techninės būklės tikrinimo įstaigos techninės būklės tikrinimo ataskaitoje nurodyta, kad įrenginys įregistruotas potencialia</w:t>
      </w:r>
      <w:r>
        <w:rPr>
          <w:bCs/>
          <w:szCs w:val="24"/>
        </w:rPr>
        <w:t>i pavojingų įrenginių valstybės registre;“.</w:t>
      </w:r>
    </w:p>
    <w:p w14:paraId="47DB922F" w14:textId="77777777" w:rsidR="00807944" w:rsidRDefault="00724A46">
      <w:pPr>
        <w:ind w:firstLine="1276"/>
        <w:jc w:val="both"/>
        <w:rPr>
          <w:szCs w:val="24"/>
          <w:lang w:eastAsia="lt-LT"/>
        </w:rPr>
      </w:pPr>
      <w:r>
        <w:rPr>
          <w:bCs/>
          <w:szCs w:val="24"/>
        </w:rPr>
        <w:t>1.2</w:t>
      </w:r>
      <w:r>
        <w:rPr>
          <w:bCs/>
          <w:szCs w:val="24"/>
        </w:rPr>
        <w:t xml:space="preserve">. Pakeičiu </w:t>
      </w:r>
      <w:r>
        <w:rPr>
          <w:szCs w:val="24"/>
          <w:lang w:eastAsia="lt-LT"/>
        </w:rPr>
        <w:t>20.6 papunktį ir jį išdėstau taip:</w:t>
      </w:r>
    </w:p>
    <w:p w14:paraId="47DB9230" w14:textId="77777777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20.6</w:t>
      </w:r>
      <w:r>
        <w:rPr>
          <w:szCs w:val="24"/>
        </w:rPr>
        <w:t xml:space="preserve"> transporto priemonių, kuriomis numatyta vežti tam tikrus pavojinguosius krovinius, – kompetentingos institucijos išduotą transporto priemonių, veža</w:t>
      </w:r>
      <w:r>
        <w:rPr>
          <w:szCs w:val="24"/>
        </w:rPr>
        <w:t>nčių tam tikrus pavojinguosius krovinius, patvirtinimo sertifikatą (ADR patvirtinimo sertifikatą) arba kitą oficialų dokumentą (EB atitikties liudijimą, transporto priemonės gamintojo, jo įgaliotojo atstovo Lietuvoje ar vertinimo ir pritaikymo įmonės išduo</w:t>
      </w:r>
      <w:r>
        <w:rPr>
          <w:szCs w:val="24"/>
        </w:rPr>
        <w:t>tą deklaraciją), kuriame nurodytas transporto priemonės tipo žymuo pagal Europos sutarties dėl pavojingų krovinių tarptautinio vežimo keliais (ADR) B techninio priedo 9.1.1.2 papunktį (EX/II, EX/III, FL, AT, MEMU);“.</w:t>
      </w:r>
    </w:p>
    <w:p w14:paraId="47DB9231" w14:textId="77777777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  <w:rPr>
          <w:bCs/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>. Papildau 20.9 papunkčiu:</w:t>
      </w:r>
    </w:p>
    <w:p w14:paraId="47DB9233" w14:textId="019F6653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  <w:rPr>
          <w:bCs/>
          <w:szCs w:val="24"/>
        </w:rPr>
      </w:pPr>
      <w:r>
        <w:rPr>
          <w:szCs w:val="24"/>
        </w:rPr>
        <w:t>„</w:t>
      </w:r>
      <w:r>
        <w:rPr>
          <w:szCs w:val="24"/>
        </w:rPr>
        <w:t>20.9</w:t>
      </w:r>
      <w:r>
        <w:rPr>
          <w:szCs w:val="24"/>
        </w:rPr>
        <w:t>. transporto priemonių, kurias teisėtais pagrindais valdo Lietuvos Respublikoje akredituotų ir reziduojančių užsienio valstybių diplomatinės atstovybės ir konsulinės įstaigos ar jų personalas ir jų šeimos nariai, turintys Lietuvos Respublikos užsieni</w:t>
      </w:r>
      <w:r>
        <w:rPr>
          <w:szCs w:val="24"/>
        </w:rPr>
        <w:t xml:space="preserve">o reikalų ministerijos Valstybinio ir diplomatinio protokolo departamento išduotus galiojančius „A“ ir „B“ kategorijos akreditacijos pažymėjimus, ir kurias ketinama registruoti Lietuvos Respublikoje (toliau – atstovybės ar jos personalo valdoma transporto </w:t>
      </w:r>
      <w:r>
        <w:rPr>
          <w:szCs w:val="24"/>
        </w:rPr>
        <w:t>priemonė, kurią ketinama registruoti Lietuvos Respublikoje), – Užsienio reikalų ministerijos Valstybinio ir diplomatinio protokolo departamento direktoriaus vizuotą ir šio departamento antspaudu patvirtintą prašymą dėl motorinės transporto priemonės regist</w:t>
      </w:r>
      <w:r>
        <w:rPr>
          <w:szCs w:val="24"/>
        </w:rPr>
        <w:t>ravimo.“</w:t>
      </w:r>
    </w:p>
    <w:p w14:paraId="47DB9234" w14:textId="77777777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  <w:rPr>
          <w:bCs/>
          <w:szCs w:val="24"/>
        </w:rPr>
      </w:pPr>
      <w:r>
        <w:rPr>
          <w:bCs/>
          <w:szCs w:val="24"/>
        </w:rPr>
        <w:t>1.4</w:t>
      </w:r>
      <w:r>
        <w:rPr>
          <w:bCs/>
          <w:szCs w:val="24"/>
        </w:rPr>
        <w:t>. Papildau 21.9 papunkčiu:</w:t>
      </w:r>
    </w:p>
    <w:p w14:paraId="47DB9235" w14:textId="77777777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  <w:rPr>
          <w:bCs/>
        </w:rPr>
      </w:pPr>
      <w:r>
        <w:rPr>
          <w:bCs/>
        </w:rPr>
        <w:t>„</w:t>
      </w:r>
      <w:r>
        <w:rPr>
          <w:bCs/>
        </w:rPr>
        <w:t>21.9</w:t>
      </w:r>
      <w:r>
        <w:rPr>
          <w:bCs/>
        </w:rPr>
        <w:t>. ar tinkama transporto priemonės, kuri paženklinta diplomatiniais registracijos numerio ženklais, arba atstovybės ar jos personalo valdomos transporto priemonės, kurią ketinama registruoti Lietuvos Re</w:t>
      </w:r>
      <w:r>
        <w:rPr>
          <w:bCs/>
        </w:rPr>
        <w:t>spublikoje, techninė būklė, mazgų ir agregatų veikimas, nevertinant transporto priemonės konstrukcijos, įskaitant vairo padėtį, stiklų, patenkančių į priekinį 180º vairuotojo matymo lauką, šviesos laidumo, vidaus įrangos ir įprastai transporto priemonės vi</w:t>
      </w:r>
      <w:r>
        <w:rPr>
          <w:bCs/>
        </w:rPr>
        <w:t>duje laikomų privalomų saugos priemonių (gesintuvų, trikampio avarinio sustojimo ženklo, pirmosios pagalbos rinkinio).“</w:t>
      </w:r>
    </w:p>
    <w:p w14:paraId="47DB9236" w14:textId="77777777" w:rsidR="00807944" w:rsidRDefault="00724A46">
      <w:pPr>
        <w:ind w:firstLine="1276"/>
        <w:jc w:val="both"/>
        <w:rPr>
          <w:szCs w:val="24"/>
          <w:lang w:eastAsia="lt-LT"/>
        </w:rPr>
      </w:pPr>
      <w:r>
        <w:rPr>
          <w:szCs w:val="24"/>
        </w:rPr>
        <w:t>1.5</w:t>
      </w:r>
      <w:r>
        <w:rPr>
          <w:szCs w:val="24"/>
        </w:rPr>
        <w:t xml:space="preserve">. </w:t>
      </w:r>
      <w:r>
        <w:rPr>
          <w:bCs/>
          <w:szCs w:val="24"/>
        </w:rPr>
        <w:t>Pakeičiu 3</w:t>
      </w:r>
      <w:r>
        <w:rPr>
          <w:szCs w:val="24"/>
          <w:lang w:eastAsia="lt-LT"/>
        </w:rPr>
        <w:t>0.6 papunktį ir jį išdėstau taip:</w:t>
      </w:r>
    </w:p>
    <w:p w14:paraId="47DB9237" w14:textId="77777777" w:rsidR="00807944" w:rsidRDefault="00724A46">
      <w:pPr>
        <w:ind w:firstLine="1276"/>
        <w:jc w:val="both"/>
      </w:pPr>
      <w:r>
        <w:t>„</w:t>
      </w:r>
      <w:r>
        <w:t>30.6</w:t>
      </w:r>
      <w:r>
        <w:t>. lengvųjų automobilių taksi ir lengvųjų automobilių, kuriais vykdoma ke</w:t>
      </w:r>
      <w:r>
        <w:t>leivių vežimo už atlygį pagal užsakymą veikla (M1 klasės), jeigu jų eksploatacijos trukmė nuo pirmosios registracijos datos:</w:t>
      </w:r>
    </w:p>
    <w:p w14:paraId="47DB9238" w14:textId="77777777" w:rsidR="00807944" w:rsidRDefault="00724A46">
      <w:pPr>
        <w:ind w:firstLine="1276"/>
      </w:pPr>
      <w:r>
        <w:t>30.6.1</w:t>
      </w:r>
      <w:r>
        <w:t>. iki 5 metų – po metų nuo pirmosios registracijos datos, po to kas 12 mėn.;</w:t>
      </w:r>
    </w:p>
    <w:p w14:paraId="47DB9239" w14:textId="77777777" w:rsidR="00807944" w:rsidRDefault="00724A46">
      <w:pPr>
        <w:ind w:firstLine="1276"/>
        <w:jc w:val="both"/>
      </w:pPr>
      <w:r>
        <w:t>30.6.2</w:t>
      </w:r>
      <w:r>
        <w:t>. 5 ir daugiau metų – kas 6 mėn.;“.</w:t>
      </w:r>
    </w:p>
    <w:p w14:paraId="47DB923A" w14:textId="77777777" w:rsidR="00807944" w:rsidRDefault="00724A46">
      <w:pPr>
        <w:ind w:firstLine="1276"/>
        <w:jc w:val="both"/>
        <w:rPr>
          <w:szCs w:val="24"/>
          <w:lang w:eastAsia="lt-LT"/>
        </w:rPr>
      </w:pPr>
      <w:r>
        <w:rPr>
          <w:szCs w:val="24"/>
        </w:rPr>
        <w:t>1.6</w:t>
      </w:r>
      <w:r>
        <w:rPr>
          <w:szCs w:val="24"/>
        </w:rPr>
        <w:t xml:space="preserve">. </w:t>
      </w:r>
      <w:r>
        <w:rPr>
          <w:bCs/>
          <w:szCs w:val="24"/>
        </w:rPr>
        <w:t>Pakeičiu 3</w:t>
      </w:r>
      <w:r>
        <w:rPr>
          <w:szCs w:val="24"/>
          <w:lang w:eastAsia="lt-LT"/>
        </w:rPr>
        <w:t>0.10 papunktį ir jį išdėstau taip:</w:t>
      </w:r>
    </w:p>
    <w:p w14:paraId="47DB923B" w14:textId="77777777" w:rsidR="00807944" w:rsidRDefault="00724A46">
      <w:pPr>
        <w:tabs>
          <w:tab w:val="left" w:pos="1134"/>
          <w:tab w:val="left" w:pos="1701"/>
        </w:tabs>
        <w:suppressAutoHyphens/>
        <w:ind w:firstLine="1276"/>
        <w:jc w:val="both"/>
        <w:textAlignment w:val="center"/>
      </w:pPr>
      <w:r>
        <w:t>„</w:t>
      </w:r>
      <w:r>
        <w:t>30.10</w:t>
      </w:r>
      <w:r>
        <w:t xml:space="preserve">. </w:t>
      </w:r>
      <w:r>
        <w:rPr>
          <w:color w:val="000000"/>
        </w:rPr>
        <w:t>N ir O kategorijų</w:t>
      </w:r>
      <w:r>
        <w:t xml:space="preserve"> </w:t>
      </w:r>
      <w:r>
        <w:rPr>
          <w:szCs w:val="24"/>
        </w:rPr>
        <w:t>transporto priemonių, kuriomis numatyta vežti tam tikrus pavojinguosius krovinius</w:t>
      </w:r>
      <w:r>
        <w:t xml:space="preserve"> </w:t>
      </w:r>
      <w:r>
        <w:rPr>
          <w:b/>
          <w:bCs/>
          <w:color w:val="000000"/>
        </w:rPr>
        <w:t>(</w:t>
      </w:r>
      <w:r>
        <w:t>EX/II, EX/III, FL, AT ar MEMU</w:t>
      </w:r>
      <w:r>
        <w:rPr>
          <w:b/>
        </w:rPr>
        <w:t>)</w:t>
      </w:r>
      <w:r>
        <w:t xml:space="preserve">, – kas 12 mėn.; </w:t>
      </w:r>
      <w:r>
        <w:rPr>
          <w:color w:val="000000"/>
        </w:rPr>
        <w:t xml:space="preserve">naujos transporto priemonės gali būti </w:t>
      </w:r>
      <w:r>
        <w:rPr>
          <w:color w:val="000000"/>
        </w:rPr>
        <w:t>patikrinamos tik dėl atitikties Techninių motorinių transporto priemonių ir jų priekabų reikalavimų 1 priedo XI skyriaus reikalavimams;</w:t>
      </w:r>
      <w:r>
        <w:t>“.</w:t>
      </w:r>
    </w:p>
    <w:p w14:paraId="47DB923C" w14:textId="77777777" w:rsidR="00807944" w:rsidRDefault="00724A46">
      <w:pPr>
        <w:ind w:firstLine="1276"/>
        <w:jc w:val="both"/>
        <w:rPr>
          <w:szCs w:val="24"/>
          <w:lang w:eastAsia="lt-LT"/>
        </w:rPr>
      </w:pPr>
      <w:r>
        <w:rPr>
          <w:szCs w:val="24"/>
        </w:rPr>
        <w:t>1.7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Pakeičiu 36 </w:t>
      </w:r>
      <w:r>
        <w:rPr>
          <w:szCs w:val="24"/>
          <w:lang w:eastAsia="lt-LT"/>
        </w:rPr>
        <w:t>punktą ir jį išdėstau taip:</w:t>
      </w:r>
    </w:p>
    <w:p w14:paraId="47DB923D" w14:textId="77777777" w:rsidR="00807944" w:rsidRDefault="00724A46">
      <w:pPr>
        <w:ind w:firstLine="1276"/>
        <w:jc w:val="both"/>
      </w:pPr>
      <w:r>
        <w:t>„</w:t>
      </w: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 xml:space="preserve">. Atlikus transporto priemonės privalomąją apžiūrą anksčiau </w:t>
      </w:r>
      <w:r>
        <w:rPr>
          <w:szCs w:val="24"/>
          <w:lang w:eastAsia="lt-LT"/>
        </w:rPr>
        <w:t>nustatytos privalomosios apžiūros galiojimo datos ir privalomosios apžiūros metu nenustačius didelių trūkumų ir (ar) pavojingų trūkumų, prieš tai atlikta privalomoji apžiūra laikoma negaliojančia, o naujas privalomosios apžiūros galiojimo terminas prasided</w:t>
      </w:r>
      <w:r>
        <w:rPr>
          <w:szCs w:val="24"/>
          <w:lang w:eastAsia="lt-LT"/>
        </w:rPr>
        <w:t>a nuo privalomosios apžiūros atlikimo datos, išskyrus Tvarkos aprašo 31 punkte nustatytą atvejį. Jeigu privalomosios apžiūros metu nustatoma pavojingų trūkumų, prieš tai atlikta privalomoji apžiūra laikoma negaliojančia.</w:t>
      </w:r>
      <w:r>
        <w:t>“</w:t>
      </w:r>
    </w:p>
    <w:p w14:paraId="47DB923E" w14:textId="52B0E14A" w:rsidR="00807944" w:rsidRDefault="00724A46">
      <w:pPr>
        <w:ind w:firstLine="1276"/>
        <w:jc w:val="both"/>
      </w:pPr>
      <w:r>
        <w:t>2</w:t>
      </w:r>
      <w:r>
        <w:t xml:space="preserve">. N u s t a t a u, kad </w:t>
      </w:r>
      <w:r>
        <w:t>šis įsakymas įsigalioja 2020 m. vasario 1 d.</w:t>
      </w:r>
    </w:p>
    <w:bookmarkStart w:id="0" w:name="_GoBack" w:displacedByCustomXml="prev"/>
    <w:p w14:paraId="102677EE" w14:textId="15BF1D46" w:rsidR="00724A46" w:rsidRDefault="00724A46">
      <w:pPr>
        <w:rPr>
          <w:lang w:eastAsia="lt-LT"/>
        </w:rPr>
      </w:pPr>
    </w:p>
    <w:p w14:paraId="2ED3A680" w14:textId="77777777" w:rsidR="00724A46" w:rsidRDefault="00724A46">
      <w:pPr>
        <w:rPr>
          <w:lang w:eastAsia="lt-LT"/>
        </w:rPr>
      </w:pPr>
    </w:p>
    <w:p w14:paraId="08A74974" w14:textId="77777777" w:rsidR="00724A46" w:rsidRDefault="00724A46">
      <w:pPr>
        <w:rPr>
          <w:lang w:eastAsia="lt-LT"/>
        </w:rPr>
      </w:pPr>
    </w:p>
    <w:p w14:paraId="47DB9247" w14:textId="0BC8144A" w:rsidR="00807944" w:rsidRDefault="00724A46" w:rsidP="00724A46">
      <w:pPr>
        <w:tabs>
          <w:tab w:val="left" w:pos="7371"/>
        </w:tabs>
        <w:rPr>
          <w:szCs w:val="24"/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</w:r>
      <w:proofErr w:type="spellStart"/>
      <w:r>
        <w:rPr>
          <w:lang w:eastAsia="lt-LT"/>
        </w:rPr>
        <w:t>Jaroslav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Narkevič</w:t>
      </w:r>
      <w:proofErr w:type="spellEnd"/>
    </w:p>
    <w:bookmarkEnd w:id="0" w:displacedByCustomXml="next"/>
    <w:sectPr w:rsidR="00807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567" w:bottom="1418" w:left="1701" w:header="567" w:footer="567" w:gutter="0"/>
      <w:cols w:space="1296"/>
      <w:titlePg/>
      <w:docGrid w:linePitch="326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D25C2" w16cid:durableId="1DE4F1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924B" w14:textId="77777777" w:rsidR="00807944" w:rsidRDefault="00724A46">
      <w:r>
        <w:separator/>
      </w:r>
    </w:p>
  </w:endnote>
  <w:endnote w:type="continuationSeparator" w:id="0">
    <w:p w14:paraId="47DB924C" w14:textId="77777777" w:rsidR="00807944" w:rsidRDefault="0072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251" w14:textId="77777777" w:rsidR="00807944" w:rsidRDefault="00807944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252" w14:textId="77777777" w:rsidR="00807944" w:rsidRDefault="00807944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254" w14:textId="77777777" w:rsidR="00807944" w:rsidRDefault="00807944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B9249" w14:textId="77777777" w:rsidR="00807944" w:rsidRDefault="00724A46">
      <w:r>
        <w:separator/>
      </w:r>
    </w:p>
  </w:footnote>
  <w:footnote w:type="continuationSeparator" w:id="0">
    <w:p w14:paraId="47DB924A" w14:textId="77777777" w:rsidR="00807944" w:rsidRDefault="0072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24D" w14:textId="77777777" w:rsidR="00807944" w:rsidRDefault="00724A46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47DB924E" w14:textId="77777777" w:rsidR="00807944" w:rsidRDefault="00807944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24F" w14:textId="77777777" w:rsidR="00807944" w:rsidRDefault="00724A46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7DB9250" w14:textId="77777777" w:rsidR="00807944" w:rsidRDefault="0080794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253" w14:textId="77777777" w:rsidR="00807944" w:rsidRDefault="0080794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25"/>
    <w:rsid w:val="00325625"/>
    <w:rsid w:val="00724A46"/>
    <w:rsid w:val="008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B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724A46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724A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724A46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724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19" Type="http://schemas.microsoft.com/office/2016/09/relationships/commentsIds" Target="commentsIds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3"/>
    <w:rsid w:val="004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1A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1A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2020-01-30T09:48:00Z</dcterms:created>
  <dc:creator>Gintaras Aliksandravičius</dc:creator>
  <lastModifiedBy>JUOSPONIENĖ Karolina</lastModifiedBy>
  <lastPrinted>2020-01-08T07:43:00Z</lastPrinted>
  <dcterms:modified xsi:type="dcterms:W3CDTF">2020-01-30T11:08:00Z</dcterms:modified>
  <revision>3</revision>
</coreProperties>
</file>