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186d9aa10564ad2b6172b4b1a281413"/>
        <w:id w:val="-963728448"/>
        <w:lock w:val="sdtLocked"/>
      </w:sdtPr>
      <w:sdtEndPr/>
      <w:sdtContent>
        <w:p w14:paraId="7C7F7F6B" w14:textId="31C8FF5D" w:rsidR="00BC7309" w:rsidRDefault="002B368F">
          <w:pPr>
            <w:tabs>
              <w:tab w:val="left" w:pos="3284"/>
              <w:tab w:val="left" w:pos="6203"/>
            </w:tabs>
            <w:jc w:val="center"/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object w:dxaOrig="753" w:dyaOrig="830" w14:anchorId="5D34DA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1.25pt" o:ole="" o:preferrelative="f" fillcolor="window">
                <v:imagedata r:id="rId9" o:title=""/>
              </v:shape>
              <o:OLEObject Type="Embed" ProgID="Word.Picture.8" ShapeID="_x0000_i1025" DrawAspect="Content" ObjectID="_1473590325" r:id="rId10"/>
            </w:object>
          </w:r>
        </w:p>
        <w:p w14:paraId="7EA7BCB5" w14:textId="77777777" w:rsidR="00BC7309" w:rsidRDefault="002B368F">
          <w:pPr>
            <w:jc w:val="center"/>
            <w:rPr>
              <w:b/>
              <w:sz w:val="28"/>
              <w:lang w:eastAsia="lt-LT"/>
            </w:rPr>
          </w:pPr>
          <w:r>
            <w:rPr>
              <w:b/>
              <w:sz w:val="28"/>
              <w:lang w:eastAsia="lt-LT"/>
            </w:rPr>
            <w:t>LIETUVOS AUTOMOBILIŲ KELIŲ DIREKCIJOS</w:t>
          </w:r>
        </w:p>
        <w:p w14:paraId="7EA7BCB6" w14:textId="77777777" w:rsidR="00BC7309" w:rsidRDefault="002B368F">
          <w:pPr>
            <w:jc w:val="center"/>
            <w:rPr>
              <w:b/>
              <w:sz w:val="28"/>
              <w:lang w:eastAsia="lt-LT"/>
            </w:rPr>
          </w:pPr>
          <w:r>
            <w:rPr>
              <w:b/>
              <w:sz w:val="28"/>
              <w:lang w:eastAsia="lt-LT"/>
            </w:rPr>
            <w:t>PRIE SUSISIEKIMO MINISTERIJOS</w:t>
          </w:r>
        </w:p>
        <w:p w14:paraId="7EA7BCB7" w14:textId="77777777" w:rsidR="00BC7309" w:rsidRDefault="002B368F">
          <w:pPr>
            <w:jc w:val="center"/>
            <w:rPr>
              <w:b/>
              <w:sz w:val="28"/>
              <w:lang w:eastAsia="lt-LT"/>
            </w:rPr>
          </w:pPr>
          <w:r>
            <w:rPr>
              <w:b/>
              <w:sz w:val="28"/>
              <w:lang w:eastAsia="lt-LT"/>
            </w:rPr>
            <w:t>DIREKTORIUS</w:t>
          </w:r>
        </w:p>
        <w:p w14:paraId="7EA7BCB8" w14:textId="77777777" w:rsidR="00BC7309" w:rsidRDefault="00BC7309">
          <w:pPr>
            <w:jc w:val="center"/>
            <w:rPr>
              <w:b/>
              <w:sz w:val="26"/>
              <w:lang w:eastAsia="lt-LT"/>
            </w:rPr>
          </w:pPr>
        </w:p>
        <w:p w14:paraId="7EA7BCB9" w14:textId="77777777" w:rsidR="00BC7309" w:rsidRDefault="002B368F">
          <w:pPr>
            <w:jc w:val="center"/>
            <w:rPr>
              <w:b/>
              <w:sz w:val="28"/>
              <w:lang w:eastAsia="lt-LT"/>
            </w:rPr>
          </w:pPr>
          <w:r>
            <w:rPr>
              <w:b/>
              <w:sz w:val="28"/>
              <w:lang w:eastAsia="lt-LT"/>
            </w:rPr>
            <w:t>ĮSAKYMAS</w:t>
          </w:r>
        </w:p>
        <w:p w14:paraId="7EA7BCBA" w14:textId="77777777" w:rsidR="00BC7309" w:rsidRDefault="002B368F">
          <w:pPr>
            <w:jc w:val="center"/>
            <w:rPr>
              <w:b/>
              <w:sz w:val="28"/>
              <w:lang w:eastAsia="lt-LT"/>
            </w:rPr>
          </w:pPr>
          <w:r>
            <w:rPr>
              <w:b/>
              <w:sz w:val="28"/>
              <w:lang w:eastAsia="lt-LT"/>
            </w:rPr>
            <w:t xml:space="preserve">DĖL LIETUVOS AUTOMOBILIŲ KELIŲ DIREKCIJOS PRIE SUSISIEKIMO MINISTERIJOS GENERALINIO DIREKTORIAUS 2008 M. SAUSIO 21 D. ĮSAKYMO NR. V-7 </w:t>
          </w:r>
          <w:r>
            <w:rPr>
              <w:b/>
              <w:sz w:val="28"/>
              <w:lang w:eastAsia="lt-LT"/>
            </w:rPr>
            <w:t>„DĖL AUTOMOBILIŲ KELIŲ STANDARTIZUOTŲ DANGŲ KONSTRUKCIJŲ PROJEKTAVIMO TAISYKLIŲ KPT SDK 07 PATVIRTINIMO“ PAKEITIMO</w:t>
          </w:r>
        </w:p>
        <w:p w14:paraId="7EA7BCBC" w14:textId="77777777" w:rsidR="00BC7309" w:rsidRDefault="00BC7309">
          <w:pPr>
            <w:jc w:val="center"/>
            <w:rPr>
              <w:b/>
              <w:sz w:val="26"/>
              <w:lang w:eastAsia="lt-LT"/>
            </w:rPr>
          </w:pPr>
        </w:p>
        <w:p w14:paraId="7EA7BCBD" w14:textId="279F6140" w:rsidR="00BC7309" w:rsidRDefault="002B368F">
          <w:pPr>
            <w:jc w:val="center"/>
            <w:rPr>
              <w:lang w:eastAsia="lt-LT"/>
            </w:rPr>
          </w:pPr>
          <w:r>
            <w:rPr>
              <w:lang w:eastAsia="lt-LT"/>
            </w:rPr>
            <w:t>2014 m.  rugsėjo 29 d. Nr. V-299</w:t>
          </w:r>
        </w:p>
        <w:p w14:paraId="7EA7BCBE" w14:textId="77777777" w:rsidR="00BC7309" w:rsidRDefault="002B368F">
          <w:pPr>
            <w:jc w:val="center"/>
            <w:rPr>
              <w:lang w:eastAsia="lt-LT"/>
            </w:rPr>
          </w:pPr>
          <w:r>
            <w:rPr>
              <w:lang w:eastAsia="lt-LT"/>
            </w:rPr>
            <w:t>Vilnius</w:t>
          </w:r>
        </w:p>
        <w:p w14:paraId="7EA7BCBF" w14:textId="77777777" w:rsidR="00BC7309" w:rsidRDefault="00BC7309">
          <w:pPr>
            <w:rPr>
              <w:lang w:eastAsia="lt-LT"/>
            </w:rPr>
          </w:pPr>
        </w:p>
        <w:p w14:paraId="7EA7BCC0" w14:textId="77777777" w:rsidR="00BC7309" w:rsidRDefault="00BC7309">
          <w:pPr>
            <w:rPr>
              <w:lang w:eastAsia="lt-LT"/>
            </w:rPr>
          </w:pPr>
        </w:p>
        <w:sdt>
          <w:sdtPr>
            <w:alias w:val="pastraipa"/>
            <w:tag w:val="part_d8d93deb94ab488ca0138549bc317031"/>
            <w:id w:val="1274757204"/>
            <w:lock w:val="sdtLocked"/>
          </w:sdtPr>
          <w:sdtEndPr/>
          <w:sdtContent>
            <w:p w14:paraId="7EA7BCC2" w14:textId="77777777" w:rsidR="00BC7309" w:rsidRDefault="002B368F">
              <w:pPr>
                <w:ind w:firstLine="56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P a k e i č i u Automobilių kelių standartizuotų dangų konstrukcijų projektavimo taisykles KPT SD</w:t>
              </w:r>
              <w:r>
                <w:rPr>
                  <w:szCs w:val="24"/>
                  <w:lang w:eastAsia="lt-LT"/>
                </w:rPr>
                <w:t>K 07, patvirtintas Lietuvos automobilių kelių direkcijos prie Susisiekimo ministerijos generalinio direktoriaus 2008 m. sausio 21 d. įsakymu Nr. V-7 „Dėl Automobilių kelių standartizuotų dangų konstrukcijų projektavimo taisyklių KPT SDK 07 patvirtinimo“, i</w:t>
              </w:r>
              <w:r>
                <w:rPr>
                  <w:szCs w:val="24"/>
                  <w:lang w:eastAsia="lt-LT"/>
                </w:rPr>
                <w:t>r išdėstau 21 ir 22 punktus taip:</w:t>
              </w:r>
            </w:p>
            <w:sdt>
              <w:sdtPr>
                <w:alias w:val="citata"/>
                <w:tag w:val="part_19bba40f7c8744f28261e54c5554fdd3"/>
                <w:id w:val="-1888794265"/>
                <w:lock w:val="sdtLocked"/>
              </w:sdtPr>
              <w:sdtEndPr/>
              <w:sdtContent>
                <w:sdt>
                  <w:sdtPr>
                    <w:alias w:val="21 p."/>
                    <w:tag w:val="part_5111692f08cf40a9b6bf898e7d2ae20e"/>
                    <w:id w:val="806055592"/>
                    <w:lock w:val="sdtLocked"/>
                  </w:sdtPr>
                  <w:sdtEndPr/>
                  <w:sdtContent>
                    <w:p w14:paraId="7EA7BCC3" w14:textId="77777777" w:rsidR="00BC7309" w:rsidRDefault="002B368F">
                      <w:pPr>
                        <w:ind w:left="54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„</w:t>
                      </w:r>
                      <w:sdt>
                        <w:sdtPr>
                          <w:alias w:val="Numeris"/>
                          <w:tag w:val="nr_5111692f08cf40a9b6bf898e7d2ae20e"/>
                          <w:id w:val="-1900275784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  <w:lang w:eastAsia="lt-LT"/>
                            </w:rPr>
                            <w:t>21</w:t>
                          </w:r>
                        </w:sdtContent>
                      </w:sdt>
                      <w:r>
                        <w:rPr>
                          <w:szCs w:val="24"/>
                          <w:lang w:eastAsia="lt-LT"/>
                        </w:rPr>
                        <w:t>. Projektinė apkrova A nustatoma turinčioms didžiausią eismo intensyvumą važiuojamosios dalies juostoms, atsižvelgiant į:</w:t>
                      </w:r>
                    </w:p>
                    <w:p w14:paraId="7EA7BCC4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projektinį naudojimo laikotarpį;</w:t>
                      </w:r>
                    </w:p>
                    <w:p w14:paraId="7EA7BCC5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ašių skaičių;</w:t>
                      </w:r>
                    </w:p>
                    <w:p w14:paraId="7EA7BCC6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apkrovų koeficientą;</w:t>
                      </w:r>
                    </w:p>
                    <w:p w14:paraId="7EA7BCC7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važiuojamosios dali</w:t>
                      </w:r>
                      <w:r>
                        <w:rPr>
                          <w:szCs w:val="24"/>
                          <w:lang w:eastAsia="lt-LT"/>
                        </w:rPr>
                        <w:t>es juostų skaičių;</w:t>
                      </w:r>
                    </w:p>
                    <w:p w14:paraId="7EA7BCC8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važiuojamosios dalies juostos plotį;</w:t>
                      </w:r>
                    </w:p>
                    <w:p w14:paraId="7EA7BCC9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išilginį nuolydį;</w:t>
                      </w:r>
                    </w:p>
                    <w:p w14:paraId="7EA7BCCA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eismo intensyvumo didėjimą.</w:t>
                      </w:r>
                    </w:p>
                  </w:sdtContent>
                </w:sdt>
                <w:sdt>
                  <w:sdtPr>
                    <w:alias w:val="22 p."/>
                    <w:tag w:val="part_37b7c2cfba8f452885a21105bfadac87"/>
                    <w:id w:val="-2001349117"/>
                    <w:lock w:val="sdtLocked"/>
                  </w:sdtPr>
                  <w:sdtEndPr/>
                  <w:sdtContent>
                    <w:p w14:paraId="7EA7BCCB" w14:textId="77777777" w:rsidR="00BC7309" w:rsidRDefault="002B368F">
                      <w:pPr>
                        <w:ind w:left="900" w:hanging="360"/>
                        <w:jc w:val="both"/>
                        <w:rPr>
                          <w:szCs w:val="24"/>
                        </w:rPr>
                      </w:pPr>
                      <w:sdt>
                        <w:sdtPr>
                          <w:alias w:val="Numeris"/>
                          <w:tag w:val="nr_37b7c2cfba8f452885a21105bfadac87"/>
                          <w:id w:val="1986663537"/>
                          <w:lock w:val="sdtLocked"/>
                        </w:sdtPr>
                        <w:sdtEndPr/>
                        <w:sdtContent>
                          <w:r>
                            <w:rPr>
                              <w:szCs w:val="24"/>
                            </w:rPr>
                            <w:t>22</w:t>
                          </w:r>
                        </w:sdtContent>
                      </w:sdt>
                      <w:r>
                        <w:rPr>
                          <w:szCs w:val="24"/>
                        </w:rPr>
                        <w:t>. Nustatomas šis dangų konstrukcijų projektinis naudojimo laikotarpis:</w:t>
                      </w:r>
                    </w:p>
                    <w:p w14:paraId="7EA7BCCC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>– naujoms automagistralėms ir naujiems greitkeliams – 30 metų;</w:t>
                      </w:r>
                    </w:p>
                    <w:p w14:paraId="7EA7BCCD" w14:textId="77777777" w:rsidR="00BC7309" w:rsidRDefault="002B368F">
                      <w:pPr>
                        <w:tabs>
                          <w:tab w:val="num" w:pos="1080"/>
                        </w:tabs>
                        <w:ind w:firstLine="720"/>
                        <w:jc w:val="both"/>
                        <w:rPr>
                          <w:szCs w:val="24"/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 xml:space="preserve">– </w:t>
                      </w:r>
                      <w:r>
                        <w:rPr>
                          <w:szCs w:val="24"/>
                          <w:lang w:eastAsia="lt-LT"/>
                        </w:rPr>
                        <w:t>visiems kitiems keliams – 20 metų.</w:t>
                      </w:r>
                    </w:p>
                    <w:p w14:paraId="7EA7BCD1" w14:textId="65CAE264" w:rsidR="00BC7309" w:rsidRDefault="002B368F" w:rsidP="002B368F">
                      <w:pPr>
                        <w:ind w:left="709"/>
                        <w:jc w:val="both"/>
                        <w:rPr>
                          <w:lang w:eastAsia="lt-LT"/>
                        </w:rPr>
                      </w:pPr>
                      <w:r>
                        <w:rPr>
                          <w:szCs w:val="24"/>
                          <w:lang w:eastAsia="lt-LT"/>
                        </w:rPr>
                        <w:t xml:space="preserve">Ekonominiais ir techniniais skaičiavimais pagrindus projektinis naudojimo laikotarpis gali būti nustatomas 10, 15 metų (pvz., kai dangos konstrukcija įrengiama etapais, atnaujinama ar rekonstruojama danga, mažos reikšmės </w:t>
                      </w:r>
                      <w:r>
                        <w:rPr>
                          <w:szCs w:val="24"/>
                          <w:lang w:eastAsia="lt-LT"/>
                        </w:rPr>
                        <w:t>keliams) ar 30 metų (pvz., ypatingos reikšmės keliams).“.</w:t>
                      </w: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5c2a4116e4f04ada9aa3a046ea823d33"/>
            <w:id w:val="551733159"/>
            <w:lock w:val="sdtLocked"/>
          </w:sdtPr>
          <w:sdtEndPr/>
          <w:sdtContent>
            <w:p w14:paraId="2FB1C47F" w14:textId="77777777" w:rsidR="002B368F" w:rsidRDefault="002B368F">
              <w:pPr>
                <w:tabs>
                  <w:tab w:val="left" w:pos="7371"/>
                </w:tabs>
              </w:pPr>
            </w:p>
            <w:p w14:paraId="1CBED1A4" w14:textId="77777777" w:rsidR="002B368F" w:rsidRDefault="002B368F">
              <w:pPr>
                <w:tabs>
                  <w:tab w:val="left" w:pos="7371"/>
                </w:tabs>
              </w:pPr>
            </w:p>
            <w:p w14:paraId="5F7D510D" w14:textId="77777777" w:rsidR="002B368F" w:rsidRDefault="002B368F">
              <w:pPr>
                <w:tabs>
                  <w:tab w:val="left" w:pos="7371"/>
                </w:tabs>
              </w:pPr>
            </w:p>
            <w:p w14:paraId="04D02EB3" w14:textId="51CC1141" w:rsidR="00BC7309" w:rsidRDefault="002B368F">
              <w:pPr>
                <w:tabs>
                  <w:tab w:val="left" w:pos="7371"/>
                </w:tabs>
                <w:rPr>
                  <w:lang w:eastAsia="lt-LT"/>
                </w:rPr>
              </w:pPr>
              <w:bookmarkStart w:id="0" w:name="_GoBack"/>
              <w:bookmarkEnd w:id="0"/>
              <w:r>
                <w:rPr>
                  <w:lang w:eastAsia="lt-LT"/>
                </w:rPr>
                <w:t>Direktorius</w:t>
              </w:r>
              <w:r>
                <w:rPr>
                  <w:lang w:eastAsia="lt-LT"/>
                </w:rPr>
                <w:tab/>
                <w:t>Skirmantas Skrinskas</w:t>
              </w:r>
            </w:p>
            <w:p w14:paraId="7EA7BCE0" w14:textId="53583FC9" w:rsidR="00BC7309" w:rsidRDefault="002B368F">
              <w:pPr>
                <w:ind w:firstLine="355"/>
                <w:rPr>
                  <w:lang w:eastAsia="lt-LT"/>
                </w:rPr>
              </w:pPr>
            </w:p>
          </w:sdtContent>
        </w:sdt>
      </w:sdtContent>
    </w:sdt>
    <w:sectPr w:rsidR="00BC7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BCE4" w14:textId="77777777" w:rsidR="00BC7309" w:rsidRDefault="002B368F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7EA7BCE5" w14:textId="77777777" w:rsidR="00BC7309" w:rsidRDefault="002B368F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BCEA" w14:textId="77777777" w:rsidR="00BC7309" w:rsidRDefault="00BC7309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BCEB" w14:textId="77777777" w:rsidR="00BC7309" w:rsidRDefault="00BC7309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BCED" w14:textId="77777777" w:rsidR="00BC7309" w:rsidRDefault="00BC7309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BCE2" w14:textId="77777777" w:rsidR="00BC7309" w:rsidRDefault="002B368F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7EA7BCE3" w14:textId="77777777" w:rsidR="00BC7309" w:rsidRDefault="002B368F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BCE6" w14:textId="77777777" w:rsidR="00BC7309" w:rsidRDefault="002B368F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7EA7BCE7" w14:textId="77777777" w:rsidR="00BC7309" w:rsidRDefault="00BC7309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BCE9" w14:textId="77777777" w:rsidR="00BC7309" w:rsidRDefault="00BC7309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BCEC" w14:textId="77777777" w:rsidR="00BC7309" w:rsidRDefault="00BC7309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D"/>
    <w:rsid w:val="002B368F"/>
    <w:rsid w:val="00732C9D"/>
    <w:rsid w:val="00B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A7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B36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B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B36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B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ee4937ef7ea644c68ae0cc65b7344f5b" PartId="1186d9aa10564ad2b6172b4b1a281413">
    <Part Type="pastraipa" DocPartId="edc81fccdbcc4a5380334a3832598f51" PartId="d8d93deb94ab488ca0138549bc317031">
      <Part Type="citata" DocPartId="e6e0cf2642024e1c98a1aa3b5a2de411" PartId="19bba40f7c8744f28261e54c5554fdd3">
        <Part Type="punktas" Nr="21" Abbr="21 p." DocPartId="eea02979678a4b15966b6d766a0febc2" PartId="5111692f08cf40a9b6bf898e7d2ae20e"/>
        <Part Type="punktas" Nr="22" Abbr="22 p." DocPartId="3009bad16706490f97719d82b9a1c0ab" PartId="37b7c2cfba8f452885a21105bfadac87"/>
      </Part>
    </Part>
    <Part Type="signatura" DocPartId="0134870a8d5b4c1791d9e9db07c7f06f" PartId="5c2a4116e4f04ada9aa3a046ea823d33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3E58-355E-48C6-A2D0-2EDB5BA9A691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ABBC269-CE17-43A9-B8C0-D51C480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Zigmantas Perveneckas</dc:creator>
  <cp:lastModifiedBy>JUOSPONIENĖ Karolina</cp:lastModifiedBy>
  <cp:revision>3</cp:revision>
  <cp:lastPrinted>2014-09-25T05:08:00Z</cp:lastPrinted>
  <dcterms:created xsi:type="dcterms:W3CDTF">2014-09-30T06:30:00Z</dcterms:created>
  <dcterms:modified xsi:type="dcterms:W3CDTF">2014-09-30T10:52:00Z</dcterms:modified>
</cp:coreProperties>
</file>