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104333" w14:textId="7B419B44" w:rsidR="00ED71FF" w:rsidRDefault="00ED71FF" w:rsidP="004D3CB8">
      <w:pPr>
        <w:tabs>
          <w:tab w:val="center" w:pos="4153"/>
          <w:tab w:val="right" w:pos="8306"/>
        </w:tabs>
        <w:rPr>
          <w:lang w:eastAsia="lt-LT"/>
        </w:rPr>
      </w:pPr>
    </w:p>
    <w:p w14:paraId="2A104334" w14:textId="77777777" w:rsidR="00ED71FF" w:rsidRDefault="004D3CB8">
      <w:pPr>
        <w:jc w:val="center"/>
        <w:rPr>
          <w:lang w:eastAsia="lt-LT"/>
        </w:rPr>
      </w:pPr>
      <w:r>
        <w:rPr>
          <w:noProof/>
          <w:lang w:eastAsia="lt-LT"/>
        </w:rPr>
        <w:drawing>
          <wp:inline distT="0" distB="0" distL="0" distR="0" wp14:anchorId="2A1043F2" wp14:editId="2A1043F3">
            <wp:extent cx="594995" cy="626745"/>
            <wp:effectExtent l="0" t="0" r="0" b="190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104335" w14:textId="77777777" w:rsidR="00ED71FF" w:rsidRDefault="004D3CB8">
      <w:pPr>
        <w:jc w:val="center"/>
        <w:rPr>
          <w:b/>
          <w:lang w:eastAsia="lt-LT"/>
        </w:rPr>
      </w:pPr>
      <w:r>
        <w:rPr>
          <w:b/>
          <w:lang w:eastAsia="lt-LT"/>
        </w:rPr>
        <w:t>LIETUVOS RESPUBLIKOS FINANSŲ MINISTRAS</w:t>
      </w:r>
    </w:p>
    <w:p w14:paraId="2A104336" w14:textId="77777777" w:rsidR="00ED71FF" w:rsidRDefault="00ED71FF">
      <w:pPr>
        <w:jc w:val="center"/>
        <w:rPr>
          <w:b/>
          <w:lang w:eastAsia="lt-LT"/>
        </w:rPr>
      </w:pPr>
    </w:p>
    <w:p w14:paraId="2A104337" w14:textId="77777777" w:rsidR="00ED71FF" w:rsidRDefault="004D3CB8">
      <w:pPr>
        <w:jc w:val="center"/>
        <w:rPr>
          <w:b/>
          <w:lang w:eastAsia="lt-LT"/>
        </w:rPr>
      </w:pPr>
      <w:r>
        <w:rPr>
          <w:b/>
          <w:lang w:eastAsia="lt-LT"/>
        </w:rPr>
        <w:t>ĮSAKYMAS</w:t>
      </w:r>
    </w:p>
    <w:p w14:paraId="2A104338" w14:textId="77777777" w:rsidR="00ED71FF" w:rsidRDefault="004D3CB8">
      <w:pPr>
        <w:jc w:val="center"/>
        <w:rPr>
          <w:lang w:eastAsia="lt-LT"/>
        </w:rPr>
      </w:pPr>
      <w:r>
        <w:rPr>
          <w:b/>
          <w:lang w:eastAsia="lt-LT"/>
        </w:rPr>
        <w:t>DĖL</w:t>
      </w:r>
      <w:r>
        <w:rPr>
          <w:lang w:eastAsia="lt-LT"/>
        </w:rPr>
        <w:t xml:space="preserve"> </w:t>
      </w:r>
      <w:r>
        <w:rPr>
          <w:b/>
          <w:lang w:eastAsia="lt-LT"/>
        </w:rPr>
        <w:t>VALDŽIOS SEKTORIAUS FISKALINIŲ RODIKLIŲ RENGIMO</w:t>
      </w:r>
    </w:p>
    <w:p w14:paraId="2A10433A" w14:textId="77777777" w:rsidR="00ED71FF" w:rsidRDefault="00ED71FF">
      <w:pPr>
        <w:jc w:val="center"/>
        <w:rPr>
          <w:lang w:eastAsia="lt-LT"/>
        </w:rPr>
      </w:pPr>
    </w:p>
    <w:p w14:paraId="2A10433B" w14:textId="77777777" w:rsidR="00ED71FF" w:rsidRDefault="004D3CB8">
      <w:pPr>
        <w:jc w:val="center"/>
        <w:rPr>
          <w:lang w:eastAsia="lt-LT"/>
        </w:rPr>
      </w:pPr>
      <w:r>
        <w:rPr>
          <w:lang w:eastAsia="lt-LT"/>
        </w:rPr>
        <w:t>2018 m. spalio 25 d. Nr. 1K-359</w:t>
      </w:r>
    </w:p>
    <w:p w14:paraId="2A10433C" w14:textId="77777777" w:rsidR="00ED71FF" w:rsidRDefault="004D3CB8">
      <w:pPr>
        <w:jc w:val="center"/>
        <w:rPr>
          <w:lang w:eastAsia="lt-LT"/>
        </w:rPr>
      </w:pPr>
      <w:r>
        <w:rPr>
          <w:lang w:eastAsia="lt-LT"/>
        </w:rPr>
        <w:t>Vilnius</w:t>
      </w:r>
    </w:p>
    <w:p w14:paraId="2A10433D" w14:textId="77777777" w:rsidR="00ED71FF" w:rsidRDefault="00ED71FF">
      <w:pPr>
        <w:jc w:val="center"/>
        <w:rPr>
          <w:lang w:eastAsia="lt-LT"/>
        </w:rPr>
      </w:pPr>
    </w:p>
    <w:p w14:paraId="6DEBF3DF" w14:textId="77777777" w:rsidR="004D3CB8" w:rsidRDefault="004D3CB8">
      <w:pPr>
        <w:jc w:val="center"/>
        <w:rPr>
          <w:lang w:eastAsia="lt-LT"/>
        </w:rPr>
      </w:pPr>
    </w:p>
    <w:p w14:paraId="2A10433E" w14:textId="77777777" w:rsidR="00ED71FF" w:rsidRDefault="004D3CB8">
      <w:pPr>
        <w:spacing w:line="276" w:lineRule="auto"/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Atsižvelgdamas į Lietuvos Respublikos biudžeto sandaros įstatymo 19 straipsnio 1 dalies 1 punkto c, </w:t>
      </w:r>
      <w:r>
        <w:rPr>
          <w:color w:val="000000"/>
          <w:szCs w:val="24"/>
          <w:lang w:eastAsia="lt-LT"/>
        </w:rPr>
        <w:t>e–g papunkčius ir Europos Sąjungos Stabilumo ir augimo paktą, nustatytą 1997 m. liepos 7 d. Tarybos reglamentu (EB) Nr. 1466/97 dėl biudžeto būklės priežiūros stiprinimo ir ekonominės politikos priežiūros bei koordinavimo (</w:t>
      </w:r>
      <w:r>
        <w:rPr>
          <w:i/>
          <w:color w:val="000000"/>
          <w:szCs w:val="24"/>
          <w:lang w:eastAsia="lt-LT"/>
        </w:rPr>
        <w:t>OL 2004 m. specialusis leidimas</w:t>
      </w:r>
      <w:r>
        <w:rPr>
          <w:color w:val="000000"/>
          <w:szCs w:val="24"/>
          <w:lang w:eastAsia="lt-LT"/>
        </w:rPr>
        <w:t xml:space="preserve">, </w:t>
      </w:r>
      <w:r>
        <w:rPr>
          <w:color w:val="000000"/>
          <w:szCs w:val="24"/>
          <w:lang w:eastAsia="lt-LT"/>
        </w:rPr>
        <w:t>10 skyrius, 1 tomas, p. 84), su paskutiniais pakeitimais, padarytais 2011 m. lapkričio 16 d. Europos Parlamento ir Tarybos reglamentu (ES) Nr. 1175/2011 (OL L306 2011, p.11):</w:t>
      </w:r>
    </w:p>
    <w:p w14:paraId="2A10433F" w14:textId="77777777" w:rsidR="00ED71FF" w:rsidRDefault="004D3CB8">
      <w:pPr>
        <w:tabs>
          <w:tab w:val="left" w:pos="993"/>
        </w:tabs>
        <w:spacing w:line="276" w:lineRule="auto"/>
        <w:ind w:firstLine="709"/>
        <w:jc w:val="both"/>
        <w:rPr>
          <w:spacing w:val="80"/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>.</w:t>
      </w:r>
      <w:r>
        <w:rPr>
          <w:szCs w:val="24"/>
          <w:lang w:eastAsia="lt-LT"/>
        </w:rPr>
        <w:tab/>
      </w:r>
      <w:r>
        <w:rPr>
          <w:spacing w:val="80"/>
          <w:szCs w:val="24"/>
          <w:lang w:eastAsia="lt-LT"/>
        </w:rPr>
        <w:t xml:space="preserve">Tvirtinu </w:t>
      </w:r>
      <w:r>
        <w:rPr>
          <w:szCs w:val="24"/>
          <w:lang w:eastAsia="lt-LT"/>
        </w:rPr>
        <w:t>Valdžios sektoriaus fiskalinių rodiklių rengimo</w:t>
      </w:r>
      <w:r>
        <w:rPr>
          <w:color w:val="000000"/>
          <w:lang w:eastAsia="lt-LT"/>
        </w:rPr>
        <w:t xml:space="preserve"> tvarkos aprašą (p</w:t>
      </w:r>
      <w:r>
        <w:rPr>
          <w:color w:val="000000"/>
          <w:lang w:eastAsia="lt-LT"/>
        </w:rPr>
        <w:t>ridedama).</w:t>
      </w:r>
    </w:p>
    <w:p w14:paraId="2A104347" w14:textId="1C805F35" w:rsidR="00ED71FF" w:rsidRDefault="004D3CB8" w:rsidP="004D3CB8">
      <w:pPr>
        <w:tabs>
          <w:tab w:val="left" w:pos="993"/>
        </w:tabs>
        <w:spacing w:line="276" w:lineRule="auto"/>
        <w:ind w:firstLine="709"/>
        <w:jc w:val="both"/>
        <w:rPr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>.</w:t>
      </w:r>
      <w:r>
        <w:rPr>
          <w:szCs w:val="24"/>
          <w:lang w:eastAsia="lt-LT"/>
        </w:rPr>
        <w:tab/>
      </w:r>
      <w:r>
        <w:rPr>
          <w:color w:val="000000"/>
          <w:spacing w:val="67"/>
          <w:lang w:eastAsia="lt-LT"/>
        </w:rPr>
        <w:t>Pripažįstu</w:t>
      </w:r>
      <w:r>
        <w:rPr>
          <w:color w:val="000000"/>
          <w:lang w:eastAsia="lt-LT"/>
        </w:rPr>
        <w:t xml:space="preserve"> netekusiu galios Lietuvos Respublikos finansų ministro 2012 m. birželio 7 d. įsakymą Nr. 1K-220 „Dėl metinio valdžios sektoriaus balanso rodiklio pagal Europos sąskaitų sistemą 95 </w:t>
      </w:r>
      <w:proofErr w:type="spellStart"/>
      <w:r>
        <w:rPr>
          <w:color w:val="000000"/>
          <w:lang w:eastAsia="lt-LT"/>
        </w:rPr>
        <w:t>stebėsenos</w:t>
      </w:r>
      <w:proofErr w:type="spellEnd"/>
      <w:r>
        <w:rPr>
          <w:color w:val="000000"/>
          <w:lang w:eastAsia="lt-LT"/>
        </w:rPr>
        <w:t xml:space="preserve"> ir išvadų rengimo Finansų ministerij</w:t>
      </w:r>
      <w:r>
        <w:rPr>
          <w:color w:val="000000"/>
          <w:lang w:eastAsia="lt-LT"/>
        </w:rPr>
        <w:t>oje patvirtinimo“.</w:t>
      </w:r>
    </w:p>
    <w:p w14:paraId="027A2D44" w14:textId="77777777" w:rsidR="004D3CB8" w:rsidRDefault="004D3CB8"/>
    <w:p w14:paraId="0D6921A9" w14:textId="77777777" w:rsidR="004D3CB8" w:rsidRDefault="004D3CB8"/>
    <w:p w14:paraId="153D05F9" w14:textId="77777777" w:rsidR="004D3CB8" w:rsidRDefault="004D3CB8"/>
    <w:p w14:paraId="2A10435A" w14:textId="13410394" w:rsidR="00ED71FF" w:rsidRDefault="004D3CB8">
      <w:pPr>
        <w:rPr>
          <w:sz w:val="20"/>
          <w:lang w:eastAsia="lt-LT"/>
        </w:rPr>
      </w:pPr>
      <w:r>
        <w:rPr>
          <w:szCs w:val="24"/>
          <w:lang w:eastAsia="lt-LT"/>
        </w:rPr>
        <w:t>Finansų ministras</w:t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  <w:t>Vilius Šapoka</w:t>
      </w:r>
    </w:p>
    <w:p w14:paraId="42EBDF8D" w14:textId="77777777" w:rsidR="004D3CB8" w:rsidRDefault="004D3CB8">
      <w:pPr>
        <w:ind w:left="4962"/>
        <w:jc w:val="both"/>
        <w:sectPr w:rsidR="004D3CB8" w:rsidSect="004D3CB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993" w:right="567" w:bottom="993" w:left="1701" w:header="560" w:footer="686" w:gutter="0"/>
          <w:pgNumType w:start="1"/>
          <w:cols w:space="1296"/>
          <w:formProt w:val="0"/>
          <w:titlePg/>
        </w:sectPr>
      </w:pPr>
    </w:p>
    <w:p w14:paraId="2A10435B" w14:textId="01E82BFB" w:rsidR="00ED71FF" w:rsidRDefault="004D3CB8">
      <w:pPr>
        <w:ind w:left="4962"/>
        <w:jc w:val="both"/>
        <w:rPr>
          <w:szCs w:val="24"/>
          <w:lang w:eastAsia="lt-LT"/>
        </w:rPr>
      </w:pPr>
      <w:r>
        <w:rPr>
          <w:szCs w:val="24"/>
          <w:lang w:eastAsia="lt-LT"/>
        </w:rPr>
        <w:lastRenderedPageBreak/>
        <w:t>PATVIRTINTA</w:t>
      </w:r>
    </w:p>
    <w:p w14:paraId="2A10435C" w14:textId="77777777" w:rsidR="00ED71FF" w:rsidRDefault="004D3CB8">
      <w:pPr>
        <w:ind w:left="4962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Lietuvos Respublikos finansų ministro </w:t>
      </w:r>
    </w:p>
    <w:p w14:paraId="2A10435D" w14:textId="77777777" w:rsidR="00ED71FF" w:rsidRDefault="004D3CB8">
      <w:pPr>
        <w:ind w:left="4962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2018 m. spalio 25 d. įsakymu Nr. </w:t>
      </w:r>
      <w:r>
        <w:rPr>
          <w:lang w:eastAsia="lt-LT"/>
        </w:rPr>
        <w:t>1K-359</w:t>
      </w:r>
    </w:p>
    <w:p w14:paraId="2A10435E" w14:textId="77777777" w:rsidR="00ED71FF" w:rsidRDefault="00ED71FF">
      <w:pPr>
        <w:ind w:left="5387"/>
        <w:jc w:val="both"/>
        <w:rPr>
          <w:b/>
          <w:caps/>
          <w:color w:val="000000"/>
          <w:szCs w:val="24"/>
          <w:lang w:eastAsia="lt-LT"/>
        </w:rPr>
      </w:pPr>
    </w:p>
    <w:p w14:paraId="2A10435F" w14:textId="77777777" w:rsidR="00ED71FF" w:rsidRDefault="004D3CB8">
      <w:pPr>
        <w:jc w:val="center"/>
        <w:rPr>
          <w:b/>
          <w:caps/>
          <w:color w:val="000000"/>
          <w:szCs w:val="24"/>
          <w:lang w:eastAsia="lt-LT"/>
        </w:rPr>
      </w:pPr>
      <w:r>
        <w:rPr>
          <w:b/>
          <w:caps/>
          <w:color w:val="000000"/>
          <w:szCs w:val="24"/>
          <w:lang w:eastAsia="lt-LT"/>
        </w:rPr>
        <w:t>valdžios sektoriaus fiskalinių rodiklių rengimo TVARKOS aprašAS</w:t>
      </w:r>
    </w:p>
    <w:p w14:paraId="2A104360" w14:textId="77777777" w:rsidR="00ED71FF" w:rsidRDefault="00ED71FF">
      <w:pPr>
        <w:rPr>
          <w:color w:val="000000"/>
          <w:szCs w:val="24"/>
          <w:lang w:eastAsia="lt-LT"/>
        </w:rPr>
      </w:pPr>
    </w:p>
    <w:p w14:paraId="2A104361" w14:textId="77777777" w:rsidR="00ED71FF" w:rsidRDefault="004D3CB8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</w:t>
      </w:r>
      <w:r>
        <w:rPr>
          <w:b/>
          <w:szCs w:val="24"/>
          <w:lang w:eastAsia="lt-LT"/>
        </w:rPr>
        <w:t xml:space="preserve"> SKYRIUS</w:t>
      </w:r>
    </w:p>
    <w:p w14:paraId="2A104362" w14:textId="77777777" w:rsidR="00ED71FF" w:rsidRDefault="004D3CB8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BENDROSIOS NUOSTATOS</w:t>
      </w:r>
    </w:p>
    <w:p w14:paraId="2A104363" w14:textId="77777777" w:rsidR="00ED71FF" w:rsidRDefault="00ED71FF">
      <w:pPr>
        <w:rPr>
          <w:b/>
          <w:caps/>
          <w:color w:val="000000"/>
          <w:szCs w:val="24"/>
          <w:lang w:eastAsia="lt-LT"/>
        </w:rPr>
      </w:pPr>
    </w:p>
    <w:p w14:paraId="2A104364" w14:textId="77777777" w:rsidR="00ED71FF" w:rsidRDefault="004D3CB8">
      <w:pPr>
        <w:tabs>
          <w:tab w:val="left" w:pos="540"/>
          <w:tab w:val="left" w:pos="993"/>
        </w:tabs>
        <w:spacing w:line="276" w:lineRule="auto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>.</w:t>
      </w:r>
      <w:r>
        <w:rPr>
          <w:szCs w:val="24"/>
          <w:lang w:eastAsia="lt-LT"/>
        </w:rPr>
        <w:tab/>
        <w:t>Valdžios sektoriaus fiskalinių rodiklių rengimo tvarkos apraše (toliau – Aprašas) reglamentuojama:</w:t>
      </w:r>
    </w:p>
    <w:p w14:paraId="2A104365" w14:textId="77777777" w:rsidR="00ED71FF" w:rsidRDefault="004D3CB8">
      <w:pPr>
        <w:tabs>
          <w:tab w:val="left" w:pos="1134"/>
        </w:tabs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1.1</w:t>
      </w:r>
      <w:r>
        <w:rPr>
          <w:szCs w:val="24"/>
          <w:lang w:eastAsia="lt-LT"/>
        </w:rPr>
        <w:t>.</w:t>
      </w:r>
      <w:r>
        <w:rPr>
          <w:szCs w:val="24"/>
          <w:lang w:eastAsia="lt-LT"/>
        </w:rPr>
        <w:tab/>
        <w:t>skaičiuojami trimečiai (</w:t>
      </w:r>
      <w:r>
        <w:rPr>
          <w:i/>
          <w:szCs w:val="24"/>
          <w:lang w:eastAsia="lt-LT"/>
        </w:rPr>
        <w:t>t</w:t>
      </w:r>
      <w:r>
        <w:rPr>
          <w:szCs w:val="24"/>
          <w:lang w:eastAsia="lt-LT"/>
        </w:rPr>
        <w:t xml:space="preserve"> + 1, </w:t>
      </w:r>
      <w:r>
        <w:rPr>
          <w:i/>
          <w:szCs w:val="24"/>
          <w:lang w:eastAsia="lt-LT"/>
        </w:rPr>
        <w:t>t</w:t>
      </w:r>
      <w:r>
        <w:rPr>
          <w:szCs w:val="24"/>
          <w:lang w:eastAsia="lt-LT"/>
        </w:rPr>
        <w:t xml:space="preserve"> + 2, </w:t>
      </w:r>
      <w:r>
        <w:rPr>
          <w:i/>
          <w:szCs w:val="24"/>
          <w:lang w:eastAsia="lt-LT"/>
        </w:rPr>
        <w:t>t</w:t>
      </w:r>
      <w:r>
        <w:rPr>
          <w:szCs w:val="24"/>
          <w:lang w:eastAsia="lt-LT"/>
        </w:rPr>
        <w:t xml:space="preserve"> + 3 metai, kai </w:t>
      </w:r>
      <w:r>
        <w:rPr>
          <w:i/>
          <w:szCs w:val="24"/>
          <w:lang w:eastAsia="lt-LT"/>
        </w:rPr>
        <w:t>t</w:t>
      </w:r>
      <w:r>
        <w:rPr>
          <w:szCs w:val="24"/>
          <w:lang w:eastAsia="lt-LT"/>
        </w:rPr>
        <w:t xml:space="preserve"> – einamieji metai) valdžios sektoriaus fiskaliniai rodikliai;</w:t>
      </w:r>
    </w:p>
    <w:p w14:paraId="2A104366" w14:textId="77777777" w:rsidR="00ED71FF" w:rsidRDefault="004D3CB8">
      <w:pPr>
        <w:tabs>
          <w:tab w:val="left" w:pos="1134"/>
        </w:tabs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1.2</w:t>
      </w:r>
      <w:r>
        <w:rPr>
          <w:szCs w:val="24"/>
          <w:lang w:eastAsia="lt-LT"/>
        </w:rPr>
        <w:t>.</w:t>
      </w:r>
      <w:r>
        <w:rPr>
          <w:szCs w:val="24"/>
          <w:lang w:eastAsia="lt-LT"/>
        </w:rPr>
        <w:tab/>
        <w:t>stebimi einamųjų metų valdžios sektoriaus fiskaliniai rodikliai;</w:t>
      </w:r>
    </w:p>
    <w:p w14:paraId="2A104367" w14:textId="77777777" w:rsidR="00ED71FF" w:rsidRDefault="004D3CB8">
      <w:pPr>
        <w:tabs>
          <w:tab w:val="left" w:pos="1134"/>
        </w:tabs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1.3</w:t>
      </w:r>
      <w:r>
        <w:rPr>
          <w:szCs w:val="24"/>
          <w:lang w:eastAsia="lt-LT"/>
        </w:rPr>
        <w:t>.</w:t>
      </w:r>
      <w:r>
        <w:rPr>
          <w:szCs w:val="24"/>
          <w:lang w:eastAsia="lt-LT"/>
        </w:rPr>
        <w:tab/>
        <w:t>skaičiuojamų ir stebimų valdžios sektoriaus fiskalinių rodiklių reikšmių ir informacijos apie jų pasikeitimo p</w:t>
      </w:r>
      <w:r>
        <w:rPr>
          <w:szCs w:val="24"/>
          <w:lang w:eastAsia="lt-LT"/>
        </w:rPr>
        <w:t>riežastis teikimas Lietuvos Respublikos finansų ministrui;</w:t>
      </w:r>
    </w:p>
    <w:p w14:paraId="2A104368" w14:textId="77777777" w:rsidR="00ED71FF" w:rsidRDefault="004D3CB8">
      <w:pPr>
        <w:tabs>
          <w:tab w:val="left" w:pos="1134"/>
        </w:tabs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1.4</w:t>
      </w:r>
      <w:r>
        <w:rPr>
          <w:szCs w:val="24"/>
          <w:lang w:eastAsia="lt-LT"/>
        </w:rPr>
        <w:t>.</w:t>
      </w:r>
      <w:r>
        <w:rPr>
          <w:szCs w:val="24"/>
          <w:lang w:eastAsia="lt-LT"/>
        </w:rPr>
        <w:tab/>
        <w:t>informacijos ir duomenų, turinčių arba galinčių turėti įtakos valdžios sektoriaus fiskaliniams rodikliams, teikimas Lietuvos Respublikos finansų ministerijos (toliau – ministerija) Finansų</w:t>
      </w:r>
      <w:r>
        <w:rPr>
          <w:szCs w:val="24"/>
          <w:lang w:eastAsia="lt-LT"/>
        </w:rPr>
        <w:t xml:space="preserve"> politikos departamento Fiskalinės priežiūros skyriui (toliau – Fiskalinės priežiūros skyrius).</w:t>
      </w:r>
    </w:p>
    <w:p w14:paraId="2A104369" w14:textId="77777777" w:rsidR="00ED71FF" w:rsidRDefault="004D3CB8">
      <w:pPr>
        <w:jc w:val="center"/>
        <w:rPr>
          <w:b/>
          <w:szCs w:val="24"/>
          <w:lang w:eastAsia="lt-LT"/>
        </w:rPr>
      </w:pPr>
    </w:p>
    <w:p w14:paraId="2A10436A" w14:textId="77777777" w:rsidR="00ED71FF" w:rsidRDefault="004D3CB8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II</w:t>
      </w:r>
      <w:r>
        <w:rPr>
          <w:b/>
          <w:szCs w:val="24"/>
          <w:lang w:eastAsia="lt-LT"/>
        </w:rPr>
        <w:t xml:space="preserve"> SKYRIUS</w:t>
      </w:r>
    </w:p>
    <w:p w14:paraId="2A10436B" w14:textId="77777777" w:rsidR="00ED71FF" w:rsidRDefault="004D3CB8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SKAIČIUOJAMI IR STEBIMI VALDŽIOS SEKTORIAUS FISKALINIAI RODIKLIAI</w:t>
      </w:r>
    </w:p>
    <w:p w14:paraId="2A10436C" w14:textId="77777777" w:rsidR="00ED71FF" w:rsidRDefault="00ED71FF">
      <w:pPr>
        <w:jc w:val="center"/>
        <w:rPr>
          <w:b/>
          <w:szCs w:val="24"/>
          <w:lang w:eastAsia="lt-LT"/>
        </w:rPr>
      </w:pPr>
    </w:p>
    <w:p w14:paraId="2A10436D" w14:textId="77777777" w:rsidR="00ED71FF" w:rsidRDefault="004D3CB8">
      <w:pPr>
        <w:tabs>
          <w:tab w:val="left" w:pos="540"/>
          <w:tab w:val="left" w:pos="993"/>
        </w:tabs>
        <w:spacing w:line="276" w:lineRule="auto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>.</w:t>
      </w:r>
      <w:r>
        <w:rPr>
          <w:szCs w:val="24"/>
          <w:lang w:eastAsia="lt-LT"/>
        </w:rPr>
        <w:tab/>
        <w:t>Fiskalinės priežiūros skyriaus skaičiuojami tam tikrų metų ir steb</w:t>
      </w:r>
      <w:r>
        <w:rPr>
          <w:szCs w:val="24"/>
          <w:lang w:eastAsia="lt-LT"/>
        </w:rPr>
        <w:t>imi einamųjų metų šie valdžios sektoriaus fiskaliniai rodikliai:</w:t>
      </w:r>
    </w:p>
    <w:p w14:paraId="2A10436E" w14:textId="77777777" w:rsidR="00ED71FF" w:rsidRDefault="004D3CB8">
      <w:pPr>
        <w:tabs>
          <w:tab w:val="left" w:pos="1134"/>
        </w:tabs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2.1</w:t>
      </w:r>
      <w:r>
        <w:rPr>
          <w:szCs w:val="24"/>
          <w:lang w:eastAsia="lt-LT"/>
        </w:rPr>
        <w:t>.</w:t>
      </w:r>
      <w:r>
        <w:rPr>
          <w:szCs w:val="24"/>
          <w:lang w:eastAsia="lt-LT"/>
        </w:rPr>
        <w:tab/>
        <w:t>valdžios sektoriaus balansas pagal galiojančią Europos sąskaitų sistemą (toliau – ESS);</w:t>
      </w:r>
    </w:p>
    <w:p w14:paraId="2A10436F" w14:textId="77777777" w:rsidR="00ED71FF" w:rsidRDefault="004D3CB8">
      <w:pPr>
        <w:tabs>
          <w:tab w:val="left" w:pos="1134"/>
        </w:tabs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2.2</w:t>
      </w:r>
      <w:r>
        <w:rPr>
          <w:szCs w:val="24"/>
          <w:lang w:eastAsia="lt-LT"/>
        </w:rPr>
        <w:t>.</w:t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 xml:space="preserve">struktūrinis valdžios sektoriaus balansas pagal Europos Sąjungos Stabilumo ir augimo paktą, nustatytą 1997 m. liepos 7 d. Tarybos reglamentu (EB) Nr. 1466/97 dėl biudžeto būklės priežiūros stiprinimo ir ekonominės politikos priežiūros bei koordinavimo (OL </w:t>
      </w:r>
      <w:r>
        <w:rPr>
          <w:i/>
          <w:szCs w:val="24"/>
          <w:lang w:eastAsia="lt-LT"/>
        </w:rPr>
        <w:t>2004 m. specialusis leidimas</w:t>
      </w:r>
      <w:r>
        <w:rPr>
          <w:szCs w:val="24"/>
          <w:lang w:eastAsia="lt-LT"/>
        </w:rPr>
        <w:t>, 10 skyrius, 1 tomas, p. 84), su paskutiniais pakeitimais, padarytais 2011 m. lapkričio 16 d. Europos Parlamento</w:t>
      </w:r>
      <w:r>
        <w:rPr>
          <w:lang w:eastAsia="lt-LT"/>
        </w:rPr>
        <w:t xml:space="preserve"> </w:t>
      </w:r>
      <w:r>
        <w:rPr>
          <w:szCs w:val="24"/>
          <w:lang w:eastAsia="lt-LT"/>
        </w:rPr>
        <w:t>ir Tarybos reglamentu (ES) Nr. 1175/2011 (OL L306 2011, p. 11) (toliau – Stabilumo ir augimo paktas);</w:t>
      </w:r>
    </w:p>
    <w:p w14:paraId="2A104370" w14:textId="77777777" w:rsidR="00ED71FF" w:rsidRDefault="004D3CB8">
      <w:pPr>
        <w:tabs>
          <w:tab w:val="left" w:pos="1134"/>
        </w:tabs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2.3</w:t>
      </w:r>
      <w:r>
        <w:rPr>
          <w:szCs w:val="24"/>
          <w:lang w:eastAsia="lt-LT"/>
        </w:rPr>
        <w:t>.</w:t>
      </w:r>
      <w:r>
        <w:rPr>
          <w:szCs w:val="24"/>
          <w:lang w:eastAsia="lt-LT"/>
        </w:rPr>
        <w:tab/>
        <w:t>val</w:t>
      </w:r>
      <w:r>
        <w:rPr>
          <w:szCs w:val="24"/>
          <w:lang w:eastAsia="lt-LT"/>
        </w:rPr>
        <w:t>džios sektoriaus išlaidų, koreguotų taip, kaip numatyta Stabilumo ir augimo pakte, pasikeitimas, palyginti su paskutinių pasibaigusių metų palyginamomis valdžios sektoriaus išlaidomis, išreikštas procentais;</w:t>
      </w:r>
    </w:p>
    <w:p w14:paraId="2A104371" w14:textId="77777777" w:rsidR="00ED71FF" w:rsidRDefault="004D3CB8">
      <w:pPr>
        <w:tabs>
          <w:tab w:val="left" w:pos="1134"/>
        </w:tabs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2.4</w:t>
      </w:r>
      <w:r>
        <w:rPr>
          <w:szCs w:val="24"/>
          <w:lang w:eastAsia="lt-LT"/>
        </w:rPr>
        <w:t>.</w:t>
      </w:r>
      <w:r>
        <w:rPr>
          <w:szCs w:val="24"/>
          <w:lang w:eastAsia="lt-LT"/>
        </w:rPr>
        <w:tab/>
        <w:t>valdžios sektoriui priskiriamų biudžetų</w:t>
      </w:r>
      <w:r>
        <w:rPr>
          <w:szCs w:val="24"/>
          <w:lang w:eastAsia="lt-LT"/>
        </w:rPr>
        <w:t xml:space="preserve"> asignavimų, kurių visuma nustatoma taip, kaip nustatyta Lietuvos Respublikos fiskalinės sutarties įgyvendinimo konstitucinio įstatymo (toliau – Konstitucinis įstatymas) 3 straipsnyje, pasikeitimas, palyginti su paskutinių pasibaigusių metų palyginama asig</w:t>
      </w:r>
      <w:r>
        <w:rPr>
          <w:szCs w:val="24"/>
          <w:lang w:eastAsia="lt-LT"/>
        </w:rPr>
        <w:t>navimų visuma, išreikštas procentais.</w:t>
      </w:r>
    </w:p>
    <w:p w14:paraId="2A104372" w14:textId="77777777" w:rsidR="00ED71FF" w:rsidRDefault="004D3CB8">
      <w:pPr>
        <w:tabs>
          <w:tab w:val="left" w:pos="540"/>
          <w:tab w:val="left" w:pos="993"/>
        </w:tabs>
        <w:spacing w:line="276" w:lineRule="auto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</w:t>
      </w:r>
      <w:r>
        <w:rPr>
          <w:szCs w:val="24"/>
          <w:lang w:eastAsia="lt-LT"/>
        </w:rPr>
        <w:t>.</w:t>
      </w:r>
      <w:r>
        <w:rPr>
          <w:szCs w:val="24"/>
          <w:lang w:eastAsia="lt-LT"/>
        </w:rPr>
        <w:tab/>
        <w:t>Nustatant Aprašo 2 punkte nurodytų valdžios sektoriaus fiskalinių rodiklių reikšmes, taikomas valdžios sektoriaus finansų modeliavimas, ekspertinis vertinimas ir įvertinami valdžios sektoriui priskiriamų biudž</w:t>
      </w:r>
      <w:r>
        <w:rPr>
          <w:szCs w:val="24"/>
          <w:lang w:eastAsia="lt-LT"/>
        </w:rPr>
        <w:t>etų:</w:t>
      </w:r>
    </w:p>
    <w:p w14:paraId="2A104373" w14:textId="77777777" w:rsidR="00ED71FF" w:rsidRDefault="004D3CB8">
      <w:pPr>
        <w:tabs>
          <w:tab w:val="left" w:pos="1134"/>
        </w:tabs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3.1</w:t>
      </w:r>
      <w:r>
        <w:rPr>
          <w:szCs w:val="24"/>
          <w:lang w:eastAsia="lt-LT"/>
        </w:rPr>
        <w:t>.</w:t>
      </w:r>
      <w:r>
        <w:rPr>
          <w:szCs w:val="24"/>
          <w:lang w:eastAsia="lt-LT"/>
        </w:rPr>
        <w:tab/>
        <w:t>pajamų ir išlaidų rodikliai;</w:t>
      </w:r>
    </w:p>
    <w:p w14:paraId="2A104374" w14:textId="77777777" w:rsidR="00ED71FF" w:rsidRDefault="004D3CB8">
      <w:pPr>
        <w:tabs>
          <w:tab w:val="left" w:pos="1134"/>
        </w:tabs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3.2</w:t>
      </w:r>
      <w:r>
        <w:rPr>
          <w:szCs w:val="24"/>
          <w:lang w:eastAsia="lt-LT"/>
        </w:rPr>
        <w:t>.</w:t>
      </w:r>
      <w:r>
        <w:rPr>
          <w:szCs w:val="24"/>
          <w:lang w:eastAsia="lt-LT"/>
        </w:rPr>
        <w:tab/>
        <w:t>pajamų ir išlaidų planų vykdymo duomenys;</w:t>
      </w:r>
    </w:p>
    <w:p w14:paraId="2A104375" w14:textId="77777777" w:rsidR="00ED71FF" w:rsidRDefault="004D3CB8">
      <w:pPr>
        <w:tabs>
          <w:tab w:val="left" w:pos="1134"/>
        </w:tabs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3.3</w:t>
      </w:r>
      <w:r>
        <w:rPr>
          <w:szCs w:val="24"/>
          <w:lang w:eastAsia="lt-LT"/>
        </w:rPr>
        <w:t>.</w:t>
      </w:r>
      <w:r>
        <w:rPr>
          <w:szCs w:val="24"/>
          <w:lang w:eastAsia="lt-LT"/>
        </w:rPr>
        <w:tab/>
        <w:t>statistiniai, pagal ESS būtini atlikti, valdžios sektoriaus pajamų ir išlaidų perklasifikavimai ir koregavimai;</w:t>
      </w:r>
    </w:p>
    <w:p w14:paraId="2A104376" w14:textId="77777777" w:rsidR="00ED71FF" w:rsidRDefault="004D3CB8">
      <w:pPr>
        <w:tabs>
          <w:tab w:val="left" w:pos="1134"/>
        </w:tabs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3.4</w:t>
      </w:r>
      <w:r>
        <w:rPr>
          <w:szCs w:val="24"/>
          <w:lang w:eastAsia="lt-LT"/>
        </w:rPr>
        <w:t>.</w:t>
      </w:r>
      <w:r>
        <w:rPr>
          <w:szCs w:val="24"/>
          <w:lang w:eastAsia="lt-LT"/>
        </w:rPr>
        <w:tab/>
        <w:t>pajamų ir išlaidų konsolidacijos v</w:t>
      </w:r>
      <w:r>
        <w:rPr>
          <w:szCs w:val="24"/>
          <w:lang w:eastAsia="lt-LT"/>
        </w:rPr>
        <w:t>eiksniai;</w:t>
      </w:r>
    </w:p>
    <w:p w14:paraId="2A104377" w14:textId="77777777" w:rsidR="00ED71FF" w:rsidRDefault="004D3CB8">
      <w:pPr>
        <w:tabs>
          <w:tab w:val="left" w:pos="1134"/>
        </w:tabs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3.5</w:t>
      </w:r>
      <w:r>
        <w:rPr>
          <w:szCs w:val="24"/>
          <w:lang w:eastAsia="lt-LT"/>
        </w:rPr>
        <w:t>.</w:t>
      </w:r>
      <w:r>
        <w:rPr>
          <w:szCs w:val="24"/>
          <w:lang w:eastAsia="lt-LT"/>
        </w:rPr>
        <w:tab/>
        <w:t xml:space="preserve">ministerijų, </w:t>
      </w:r>
      <w:r>
        <w:rPr>
          <w:color w:val="000000"/>
          <w:szCs w:val="24"/>
          <w:lang w:eastAsia="lt-LT"/>
        </w:rPr>
        <w:t>valstybės įmonės „Indėlių ir investicijų draudimas“ (toliau – IID)</w:t>
      </w:r>
      <w:r>
        <w:rPr>
          <w:szCs w:val="24"/>
          <w:lang w:eastAsia="lt-LT"/>
        </w:rPr>
        <w:t xml:space="preserve"> ir ministerijos administracijos padalinių pateikta informacija ir duomenys, turintys arba galintys turėti įtakos valdžios sektoriaus fiskalinių rodiklių reik</w:t>
      </w:r>
      <w:r>
        <w:rPr>
          <w:szCs w:val="24"/>
          <w:lang w:eastAsia="lt-LT"/>
        </w:rPr>
        <w:t>šmėms;</w:t>
      </w:r>
    </w:p>
    <w:p w14:paraId="2A104378" w14:textId="77777777" w:rsidR="00ED71FF" w:rsidRDefault="004D3CB8">
      <w:pPr>
        <w:tabs>
          <w:tab w:val="left" w:pos="1134"/>
        </w:tabs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3.6</w:t>
      </w:r>
      <w:r>
        <w:rPr>
          <w:szCs w:val="24"/>
          <w:lang w:eastAsia="lt-LT"/>
        </w:rPr>
        <w:t>.</w:t>
      </w:r>
      <w:r>
        <w:rPr>
          <w:szCs w:val="24"/>
          <w:lang w:eastAsia="lt-LT"/>
        </w:rPr>
        <w:tab/>
        <w:t>iš kitų valdžios sektoriui priskirtų subjektų gauta faktinė ir prognozinė informacija ir duomenys.</w:t>
      </w:r>
    </w:p>
    <w:p w14:paraId="2A104379" w14:textId="77777777" w:rsidR="00ED71FF" w:rsidRDefault="004D3CB8">
      <w:pPr>
        <w:tabs>
          <w:tab w:val="left" w:pos="1134"/>
        </w:tabs>
        <w:spacing w:line="276" w:lineRule="auto"/>
        <w:ind w:left="709"/>
        <w:jc w:val="both"/>
        <w:rPr>
          <w:szCs w:val="24"/>
          <w:lang w:eastAsia="lt-LT"/>
        </w:rPr>
      </w:pPr>
    </w:p>
    <w:p w14:paraId="2A10437A" w14:textId="77777777" w:rsidR="00ED71FF" w:rsidRDefault="004D3CB8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III</w:t>
      </w:r>
      <w:r>
        <w:rPr>
          <w:b/>
          <w:szCs w:val="24"/>
          <w:lang w:eastAsia="lt-LT"/>
        </w:rPr>
        <w:t xml:space="preserve"> SKYRIUS</w:t>
      </w:r>
    </w:p>
    <w:p w14:paraId="2A10437B" w14:textId="77777777" w:rsidR="00ED71FF" w:rsidRDefault="004D3CB8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 xml:space="preserve">SKAIČIUOJAMŲ IR STEBIMŲ VALDŽIOS SEKTORIAUS FISKALINIŲ RODIKLIŲ REIKŠMIŲ IR INFORMACIJOS APIE JŲ PASIKEITIMO PRIEŽASTIS </w:t>
      </w:r>
      <w:r>
        <w:rPr>
          <w:b/>
          <w:szCs w:val="24"/>
          <w:lang w:eastAsia="lt-LT"/>
        </w:rPr>
        <w:t>TEIKIMAS FINANSŲ MINISTRUI</w:t>
      </w:r>
    </w:p>
    <w:p w14:paraId="2A10437C" w14:textId="77777777" w:rsidR="00ED71FF" w:rsidRDefault="00ED71FF">
      <w:pPr>
        <w:tabs>
          <w:tab w:val="left" w:pos="1134"/>
        </w:tabs>
        <w:spacing w:line="276" w:lineRule="auto"/>
        <w:ind w:left="709"/>
        <w:jc w:val="both"/>
        <w:rPr>
          <w:szCs w:val="24"/>
          <w:lang w:eastAsia="lt-LT"/>
        </w:rPr>
      </w:pPr>
    </w:p>
    <w:p w14:paraId="2A10437D" w14:textId="77777777" w:rsidR="00ED71FF" w:rsidRDefault="004D3CB8">
      <w:pPr>
        <w:tabs>
          <w:tab w:val="left" w:pos="540"/>
          <w:tab w:val="left" w:pos="993"/>
        </w:tabs>
        <w:spacing w:line="276" w:lineRule="auto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</w:t>
      </w:r>
      <w:r>
        <w:rPr>
          <w:szCs w:val="24"/>
          <w:lang w:eastAsia="lt-LT"/>
        </w:rPr>
        <w:t>.</w:t>
      </w:r>
      <w:r>
        <w:rPr>
          <w:szCs w:val="24"/>
          <w:lang w:eastAsia="lt-LT"/>
        </w:rPr>
        <w:tab/>
        <w:t>Skaičiuojamas ir stebimas valdžios sektoriaus fiskalinių rodiklių reikšmes ir informaciją apie jų pasikeitimo priežastis Fiskalinės priežiūros skyrius teikia finansų ministrui šiais terminais ir apimtimi:</w:t>
      </w:r>
    </w:p>
    <w:p w14:paraId="2A10437E" w14:textId="77777777" w:rsidR="00ED71FF" w:rsidRDefault="004D3CB8">
      <w:pPr>
        <w:tabs>
          <w:tab w:val="left" w:pos="0"/>
          <w:tab w:val="num" w:pos="540"/>
          <w:tab w:val="left" w:pos="567"/>
          <w:tab w:val="left" w:pos="709"/>
          <w:tab w:val="num" w:pos="1260"/>
        </w:tabs>
        <w:ind w:firstLine="709"/>
        <w:rPr>
          <w:i/>
          <w:szCs w:val="24"/>
          <w:lang w:eastAsia="lt-LT"/>
        </w:rPr>
      </w:pPr>
      <w:r>
        <w:rPr>
          <w:i/>
          <w:szCs w:val="24"/>
          <w:lang w:eastAsia="lt-LT"/>
        </w:rPr>
        <w:t xml:space="preserve">lentelė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4488"/>
        <w:gridCol w:w="1585"/>
        <w:gridCol w:w="1585"/>
        <w:gridCol w:w="1665"/>
      </w:tblGrid>
      <w:tr w:rsidR="00ED71FF" w14:paraId="2A104384" w14:textId="77777777">
        <w:tc>
          <w:tcPr>
            <w:tcW w:w="270" w:type="pct"/>
            <w:vMerge w:val="restart"/>
            <w:vAlign w:val="center"/>
          </w:tcPr>
          <w:p w14:paraId="2A10437F" w14:textId="77777777" w:rsidR="00ED71FF" w:rsidRDefault="004D3CB8">
            <w:pPr>
              <w:tabs>
                <w:tab w:val="left" w:pos="0"/>
                <w:tab w:val="num" w:pos="540"/>
                <w:tab w:val="left" w:pos="567"/>
                <w:tab w:val="left" w:pos="709"/>
                <w:tab w:val="num" w:pos="1260"/>
              </w:tabs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Nr.</w:t>
            </w:r>
          </w:p>
        </w:tc>
        <w:tc>
          <w:tcPr>
            <w:tcW w:w="2277" w:type="pct"/>
            <w:vMerge w:val="restart"/>
            <w:vAlign w:val="center"/>
          </w:tcPr>
          <w:p w14:paraId="2A104380" w14:textId="77777777" w:rsidR="00ED71FF" w:rsidRDefault="004D3CB8">
            <w:pPr>
              <w:tabs>
                <w:tab w:val="left" w:pos="0"/>
                <w:tab w:val="num" w:pos="540"/>
                <w:tab w:val="left" w:pos="567"/>
                <w:tab w:val="left" w:pos="709"/>
                <w:tab w:val="num" w:pos="1260"/>
              </w:tabs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Tei</w:t>
            </w:r>
            <w:r>
              <w:rPr>
                <w:szCs w:val="24"/>
                <w:lang w:eastAsia="lt-LT"/>
              </w:rPr>
              <w:t>kiama informacija</w:t>
            </w:r>
          </w:p>
        </w:tc>
        <w:tc>
          <w:tcPr>
            <w:tcW w:w="804" w:type="pct"/>
          </w:tcPr>
          <w:p w14:paraId="2A104381" w14:textId="77777777" w:rsidR="00ED71FF" w:rsidRDefault="004D3CB8">
            <w:pPr>
              <w:tabs>
                <w:tab w:val="left" w:pos="0"/>
                <w:tab w:val="num" w:pos="540"/>
                <w:tab w:val="left" w:pos="567"/>
                <w:tab w:val="left" w:pos="709"/>
                <w:tab w:val="num" w:pos="1260"/>
              </w:tabs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Iki balandžio 10 d.</w:t>
            </w:r>
          </w:p>
        </w:tc>
        <w:tc>
          <w:tcPr>
            <w:tcW w:w="804" w:type="pct"/>
          </w:tcPr>
          <w:p w14:paraId="2A104382" w14:textId="77777777" w:rsidR="00ED71FF" w:rsidRDefault="004D3CB8">
            <w:pPr>
              <w:tabs>
                <w:tab w:val="left" w:pos="0"/>
                <w:tab w:val="num" w:pos="540"/>
                <w:tab w:val="left" w:pos="567"/>
                <w:tab w:val="left" w:pos="709"/>
                <w:tab w:val="num" w:pos="1260"/>
              </w:tabs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Iki liepos 15 d.</w:t>
            </w:r>
          </w:p>
        </w:tc>
        <w:tc>
          <w:tcPr>
            <w:tcW w:w="844" w:type="pct"/>
          </w:tcPr>
          <w:p w14:paraId="2A104383" w14:textId="77777777" w:rsidR="00ED71FF" w:rsidRDefault="004D3CB8">
            <w:pPr>
              <w:tabs>
                <w:tab w:val="left" w:pos="0"/>
                <w:tab w:val="num" w:pos="540"/>
                <w:tab w:val="left" w:pos="567"/>
                <w:tab w:val="left" w:pos="709"/>
                <w:tab w:val="num" w:pos="1260"/>
              </w:tabs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Iki rugsėjo 27 d.</w:t>
            </w:r>
          </w:p>
        </w:tc>
      </w:tr>
      <w:tr w:rsidR="00ED71FF" w14:paraId="2A104388" w14:textId="77777777">
        <w:tc>
          <w:tcPr>
            <w:tcW w:w="270" w:type="pct"/>
            <w:vMerge/>
            <w:vAlign w:val="center"/>
          </w:tcPr>
          <w:p w14:paraId="2A104385" w14:textId="77777777" w:rsidR="00ED71FF" w:rsidRDefault="00ED71FF">
            <w:pPr>
              <w:tabs>
                <w:tab w:val="left" w:pos="0"/>
                <w:tab w:val="num" w:pos="540"/>
                <w:tab w:val="left" w:pos="567"/>
                <w:tab w:val="left" w:pos="709"/>
                <w:tab w:val="num" w:pos="1260"/>
              </w:tabs>
              <w:jc w:val="center"/>
              <w:rPr>
                <w:szCs w:val="24"/>
                <w:lang w:eastAsia="lt-LT"/>
              </w:rPr>
            </w:pPr>
          </w:p>
        </w:tc>
        <w:tc>
          <w:tcPr>
            <w:tcW w:w="2277" w:type="pct"/>
            <w:vMerge/>
          </w:tcPr>
          <w:p w14:paraId="2A104386" w14:textId="77777777" w:rsidR="00ED71FF" w:rsidRDefault="00ED71FF">
            <w:pPr>
              <w:tabs>
                <w:tab w:val="left" w:pos="0"/>
                <w:tab w:val="num" w:pos="540"/>
                <w:tab w:val="left" w:pos="567"/>
                <w:tab w:val="left" w:pos="709"/>
                <w:tab w:val="num" w:pos="1260"/>
              </w:tabs>
              <w:jc w:val="center"/>
              <w:rPr>
                <w:szCs w:val="24"/>
                <w:lang w:eastAsia="lt-LT"/>
              </w:rPr>
            </w:pPr>
          </w:p>
        </w:tc>
        <w:tc>
          <w:tcPr>
            <w:tcW w:w="2452" w:type="pct"/>
            <w:gridSpan w:val="3"/>
          </w:tcPr>
          <w:p w14:paraId="2A104387" w14:textId="77777777" w:rsidR="00ED71FF" w:rsidRDefault="004D3CB8">
            <w:pPr>
              <w:tabs>
                <w:tab w:val="left" w:pos="0"/>
                <w:tab w:val="num" w:pos="540"/>
                <w:tab w:val="left" w:pos="567"/>
                <w:tab w:val="left" w:pos="709"/>
                <w:tab w:val="num" w:pos="1260"/>
              </w:tabs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Metai, apie kuriuos teikiama informacija</w:t>
            </w:r>
          </w:p>
        </w:tc>
      </w:tr>
      <w:tr w:rsidR="00ED71FF" w14:paraId="2A10438E" w14:textId="77777777">
        <w:tc>
          <w:tcPr>
            <w:tcW w:w="270" w:type="pct"/>
            <w:vAlign w:val="center"/>
          </w:tcPr>
          <w:p w14:paraId="2A104389" w14:textId="77777777" w:rsidR="00ED71FF" w:rsidRDefault="004D3CB8">
            <w:pPr>
              <w:tabs>
                <w:tab w:val="left" w:pos="0"/>
                <w:tab w:val="num" w:pos="540"/>
                <w:tab w:val="left" w:pos="567"/>
                <w:tab w:val="left" w:pos="709"/>
                <w:tab w:val="num" w:pos="1260"/>
              </w:tabs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</w:t>
            </w:r>
          </w:p>
        </w:tc>
        <w:tc>
          <w:tcPr>
            <w:tcW w:w="2277" w:type="pct"/>
          </w:tcPr>
          <w:p w14:paraId="2A10438A" w14:textId="77777777" w:rsidR="00ED71FF" w:rsidRDefault="004D3CB8">
            <w:pPr>
              <w:tabs>
                <w:tab w:val="left" w:pos="0"/>
                <w:tab w:val="num" w:pos="540"/>
                <w:tab w:val="left" w:pos="567"/>
                <w:tab w:val="left" w:pos="709"/>
                <w:tab w:val="num" w:pos="1260"/>
              </w:tabs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Valdžios sektoriaus balanso rodiklio reikšmė</w:t>
            </w:r>
          </w:p>
        </w:tc>
        <w:tc>
          <w:tcPr>
            <w:tcW w:w="804" w:type="pct"/>
            <w:vAlign w:val="center"/>
          </w:tcPr>
          <w:p w14:paraId="2A10438B" w14:textId="77777777" w:rsidR="00ED71FF" w:rsidRDefault="004D3CB8">
            <w:pPr>
              <w:tabs>
                <w:tab w:val="left" w:pos="0"/>
                <w:tab w:val="num" w:pos="540"/>
                <w:tab w:val="left" w:pos="567"/>
                <w:tab w:val="left" w:pos="709"/>
                <w:tab w:val="num" w:pos="1260"/>
              </w:tabs>
              <w:jc w:val="center"/>
              <w:rPr>
                <w:szCs w:val="24"/>
                <w:lang w:eastAsia="lt-LT"/>
              </w:rPr>
            </w:pPr>
            <w:r>
              <w:rPr>
                <w:i/>
                <w:szCs w:val="24"/>
                <w:lang w:eastAsia="lt-LT"/>
              </w:rPr>
              <w:t>t</w:t>
            </w:r>
            <w:r>
              <w:rPr>
                <w:szCs w:val="24"/>
                <w:lang w:eastAsia="lt-LT"/>
              </w:rPr>
              <w:t xml:space="preserve">, </w:t>
            </w:r>
            <w:r>
              <w:rPr>
                <w:i/>
                <w:szCs w:val="24"/>
                <w:lang w:eastAsia="lt-LT"/>
              </w:rPr>
              <w:t>t</w:t>
            </w:r>
            <w:r>
              <w:rPr>
                <w:szCs w:val="24"/>
                <w:lang w:eastAsia="lt-LT"/>
              </w:rPr>
              <w:t xml:space="preserve"> + 1, </w:t>
            </w:r>
            <w:r>
              <w:rPr>
                <w:i/>
                <w:szCs w:val="24"/>
                <w:lang w:eastAsia="lt-LT"/>
              </w:rPr>
              <w:t>t</w:t>
            </w:r>
            <w:r>
              <w:rPr>
                <w:szCs w:val="24"/>
                <w:lang w:eastAsia="lt-LT"/>
              </w:rPr>
              <w:t xml:space="preserve"> + 2, </w:t>
            </w:r>
            <w:r>
              <w:rPr>
                <w:i/>
                <w:szCs w:val="24"/>
                <w:lang w:eastAsia="lt-LT"/>
              </w:rPr>
              <w:t>t</w:t>
            </w:r>
            <w:r>
              <w:rPr>
                <w:szCs w:val="24"/>
                <w:lang w:eastAsia="lt-LT"/>
              </w:rPr>
              <w:t xml:space="preserve"> + 3</w:t>
            </w:r>
          </w:p>
        </w:tc>
        <w:tc>
          <w:tcPr>
            <w:tcW w:w="804" w:type="pct"/>
            <w:vAlign w:val="center"/>
          </w:tcPr>
          <w:p w14:paraId="2A10438C" w14:textId="77777777" w:rsidR="00ED71FF" w:rsidRDefault="004D3CB8">
            <w:pPr>
              <w:tabs>
                <w:tab w:val="left" w:pos="0"/>
                <w:tab w:val="num" w:pos="540"/>
                <w:tab w:val="left" w:pos="567"/>
                <w:tab w:val="left" w:pos="709"/>
                <w:tab w:val="num" w:pos="1260"/>
              </w:tabs>
              <w:jc w:val="center"/>
              <w:rPr>
                <w:szCs w:val="24"/>
                <w:lang w:eastAsia="lt-LT"/>
              </w:rPr>
            </w:pPr>
            <w:r>
              <w:rPr>
                <w:i/>
                <w:szCs w:val="24"/>
                <w:lang w:eastAsia="lt-LT"/>
              </w:rPr>
              <w:t>t</w:t>
            </w:r>
          </w:p>
        </w:tc>
        <w:tc>
          <w:tcPr>
            <w:tcW w:w="844" w:type="pct"/>
            <w:vAlign w:val="center"/>
          </w:tcPr>
          <w:p w14:paraId="2A10438D" w14:textId="77777777" w:rsidR="00ED71FF" w:rsidRDefault="004D3CB8">
            <w:pPr>
              <w:tabs>
                <w:tab w:val="left" w:pos="0"/>
                <w:tab w:val="num" w:pos="540"/>
                <w:tab w:val="left" w:pos="567"/>
                <w:tab w:val="left" w:pos="709"/>
                <w:tab w:val="num" w:pos="1260"/>
              </w:tabs>
              <w:jc w:val="center"/>
              <w:rPr>
                <w:szCs w:val="24"/>
                <w:lang w:eastAsia="lt-LT"/>
              </w:rPr>
            </w:pPr>
            <w:r>
              <w:rPr>
                <w:i/>
                <w:szCs w:val="24"/>
                <w:lang w:eastAsia="lt-LT"/>
              </w:rPr>
              <w:t>t</w:t>
            </w:r>
            <w:r>
              <w:rPr>
                <w:szCs w:val="24"/>
                <w:lang w:eastAsia="lt-LT"/>
              </w:rPr>
              <w:t xml:space="preserve">, </w:t>
            </w:r>
            <w:r>
              <w:rPr>
                <w:i/>
                <w:szCs w:val="24"/>
                <w:lang w:eastAsia="lt-LT"/>
              </w:rPr>
              <w:t>t</w:t>
            </w:r>
            <w:r>
              <w:rPr>
                <w:szCs w:val="24"/>
                <w:lang w:eastAsia="lt-LT"/>
              </w:rPr>
              <w:t xml:space="preserve"> + 1, </w:t>
            </w:r>
            <w:r>
              <w:rPr>
                <w:i/>
                <w:szCs w:val="24"/>
                <w:lang w:eastAsia="lt-LT"/>
              </w:rPr>
              <w:t>t</w:t>
            </w:r>
            <w:r>
              <w:rPr>
                <w:szCs w:val="24"/>
                <w:lang w:eastAsia="lt-LT"/>
              </w:rPr>
              <w:t xml:space="preserve"> + 2, </w:t>
            </w:r>
            <w:r>
              <w:rPr>
                <w:i/>
                <w:szCs w:val="24"/>
                <w:lang w:eastAsia="lt-LT"/>
              </w:rPr>
              <w:t>t</w:t>
            </w:r>
            <w:r>
              <w:rPr>
                <w:szCs w:val="24"/>
                <w:lang w:eastAsia="lt-LT"/>
              </w:rPr>
              <w:t> + 3</w:t>
            </w:r>
          </w:p>
        </w:tc>
      </w:tr>
      <w:tr w:rsidR="00ED71FF" w14:paraId="2A104394" w14:textId="77777777">
        <w:tc>
          <w:tcPr>
            <w:tcW w:w="270" w:type="pct"/>
            <w:vAlign w:val="center"/>
          </w:tcPr>
          <w:p w14:paraId="2A10438F" w14:textId="77777777" w:rsidR="00ED71FF" w:rsidRDefault="004D3CB8">
            <w:pPr>
              <w:tabs>
                <w:tab w:val="left" w:pos="0"/>
                <w:tab w:val="num" w:pos="540"/>
                <w:tab w:val="left" w:pos="567"/>
                <w:tab w:val="left" w:pos="709"/>
                <w:tab w:val="num" w:pos="1260"/>
              </w:tabs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</w:t>
            </w:r>
          </w:p>
        </w:tc>
        <w:tc>
          <w:tcPr>
            <w:tcW w:w="2277" w:type="pct"/>
          </w:tcPr>
          <w:p w14:paraId="2A104390" w14:textId="77777777" w:rsidR="00ED71FF" w:rsidRDefault="004D3CB8">
            <w:pPr>
              <w:tabs>
                <w:tab w:val="left" w:pos="0"/>
                <w:tab w:val="num" w:pos="540"/>
                <w:tab w:val="left" w:pos="567"/>
                <w:tab w:val="left" w:pos="709"/>
                <w:tab w:val="num" w:pos="1260"/>
              </w:tabs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Struktūrinio valdžios sektoriaus </w:t>
            </w:r>
            <w:r>
              <w:rPr>
                <w:szCs w:val="24"/>
                <w:lang w:eastAsia="lt-LT"/>
              </w:rPr>
              <w:t>balanso rodiklio reikšmė</w:t>
            </w:r>
          </w:p>
        </w:tc>
        <w:tc>
          <w:tcPr>
            <w:tcW w:w="804" w:type="pct"/>
            <w:vAlign w:val="center"/>
          </w:tcPr>
          <w:p w14:paraId="2A104391" w14:textId="77777777" w:rsidR="00ED71FF" w:rsidRDefault="004D3CB8">
            <w:pPr>
              <w:tabs>
                <w:tab w:val="left" w:pos="0"/>
                <w:tab w:val="num" w:pos="540"/>
                <w:tab w:val="left" w:pos="567"/>
                <w:tab w:val="left" w:pos="709"/>
                <w:tab w:val="num" w:pos="1260"/>
              </w:tabs>
              <w:jc w:val="center"/>
              <w:rPr>
                <w:szCs w:val="24"/>
                <w:lang w:eastAsia="lt-LT"/>
              </w:rPr>
            </w:pPr>
            <w:r>
              <w:rPr>
                <w:i/>
                <w:szCs w:val="24"/>
                <w:lang w:eastAsia="lt-LT"/>
              </w:rPr>
              <w:t>t</w:t>
            </w:r>
            <w:r>
              <w:rPr>
                <w:szCs w:val="24"/>
                <w:lang w:eastAsia="lt-LT"/>
              </w:rPr>
              <w:t xml:space="preserve">, </w:t>
            </w:r>
            <w:r>
              <w:rPr>
                <w:i/>
                <w:szCs w:val="24"/>
                <w:lang w:eastAsia="lt-LT"/>
              </w:rPr>
              <w:t>t</w:t>
            </w:r>
            <w:r>
              <w:rPr>
                <w:szCs w:val="24"/>
                <w:lang w:eastAsia="lt-LT"/>
              </w:rPr>
              <w:t xml:space="preserve"> + 1, </w:t>
            </w:r>
            <w:r>
              <w:rPr>
                <w:i/>
                <w:szCs w:val="24"/>
                <w:lang w:eastAsia="lt-LT"/>
              </w:rPr>
              <w:t>t</w:t>
            </w:r>
            <w:r>
              <w:rPr>
                <w:szCs w:val="24"/>
                <w:lang w:eastAsia="lt-LT"/>
              </w:rPr>
              <w:t xml:space="preserve"> + 2, </w:t>
            </w:r>
            <w:r>
              <w:rPr>
                <w:i/>
                <w:szCs w:val="24"/>
                <w:lang w:eastAsia="lt-LT"/>
              </w:rPr>
              <w:t>t</w:t>
            </w:r>
            <w:r>
              <w:rPr>
                <w:szCs w:val="24"/>
                <w:lang w:eastAsia="lt-LT"/>
              </w:rPr>
              <w:t xml:space="preserve"> + 3</w:t>
            </w:r>
          </w:p>
        </w:tc>
        <w:tc>
          <w:tcPr>
            <w:tcW w:w="804" w:type="pct"/>
            <w:vAlign w:val="center"/>
          </w:tcPr>
          <w:p w14:paraId="2A104392" w14:textId="77777777" w:rsidR="00ED71FF" w:rsidRDefault="004D3CB8">
            <w:pPr>
              <w:tabs>
                <w:tab w:val="left" w:pos="0"/>
                <w:tab w:val="num" w:pos="540"/>
                <w:tab w:val="left" w:pos="567"/>
                <w:tab w:val="left" w:pos="709"/>
                <w:tab w:val="num" w:pos="1260"/>
              </w:tabs>
              <w:jc w:val="center"/>
              <w:rPr>
                <w:szCs w:val="24"/>
                <w:lang w:eastAsia="lt-LT"/>
              </w:rPr>
            </w:pPr>
            <w:r>
              <w:rPr>
                <w:i/>
                <w:szCs w:val="24"/>
                <w:lang w:eastAsia="lt-LT"/>
              </w:rPr>
              <w:t>t</w:t>
            </w:r>
          </w:p>
        </w:tc>
        <w:tc>
          <w:tcPr>
            <w:tcW w:w="844" w:type="pct"/>
            <w:vAlign w:val="center"/>
          </w:tcPr>
          <w:p w14:paraId="2A104393" w14:textId="77777777" w:rsidR="00ED71FF" w:rsidRDefault="004D3CB8">
            <w:pPr>
              <w:tabs>
                <w:tab w:val="left" w:pos="0"/>
                <w:tab w:val="num" w:pos="540"/>
                <w:tab w:val="left" w:pos="567"/>
                <w:tab w:val="left" w:pos="709"/>
                <w:tab w:val="num" w:pos="1260"/>
              </w:tabs>
              <w:jc w:val="center"/>
              <w:rPr>
                <w:szCs w:val="24"/>
                <w:lang w:eastAsia="lt-LT"/>
              </w:rPr>
            </w:pPr>
            <w:r>
              <w:rPr>
                <w:i/>
                <w:szCs w:val="24"/>
                <w:lang w:eastAsia="lt-LT"/>
              </w:rPr>
              <w:t>t</w:t>
            </w:r>
            <w:r>
              <w:rPr>
                <w:szCs w:val="24"/>
                <w:lang w:eastAsia="lt-LT"/>
              </w:rPr>
              <w:t xml:space="preserve">, </w:t>
            </w:r>
            <w:r>
              <w:rPr>
                <w:i/>
                <w:szCs w:val="24"/>
                <w:lang w:eastAsia="lt-LT"/>
              </w:rPr>
              <w:t>t</w:t>
            </w:r>
            <w:r>
              <w:rPr>
                <w:szCs w:val="24"/>
                <w:lang w:eastAsia="lt-LT"/>
              </w:rPr>
              <w:t xml:space="preserve"> + 1, </w:t>
            </w:r>
            <w:r>
              <w:rPr>
                <w:i/>
                <w:szCs w:val="24"/>
                <w:lang w:eastAsia="lt-LT"/>
              </w:rPr>
              <w:t>t</w:t>
            </w:r>
            <w:r>
              <w:rPr>
                <w:szCs w:val="24"/>
                <w:lang w:eastAsia="lt-LT"/>
              </w:rPr>
              <w:t xml:space="preserve"> + 2, </w:t>
            </w:r>
            <w:r>
              <w:rPr>
                <w:i/>
                <w:szCs w:val="24"/>
                <w:lang w:eastAsia="lt-LT"/>
              </w:rPr>
              <w:t>t</w:t>
            </w:r>
            <w:r>
              <w:rPr>
                <w:szCs w:val="24"/>
                <w:lang w:eastAsia="lt-LT"/>
              </w:rPr>
              <w:t> + 3</w:t>
            </w:r>
          </w:p>
        </w:tc>
      </w:tr>
      <w:tr w:rsidR="00ED71FF" w14:paraId="2A10439A" w14:textId="77777777">
        <w:tc>
          <w:tcPr>
            <w:tcW w:w="270" w:type="pct"/>
            <w:vAlign w:val="center"/>
          </w:tcPr>
          <w:p w14:paraId="2A104395" w14:textId="77777777" w:rsidR="00ED71FF" w:rsidRDefault="004D3CB8">
            <w:pPr>
              <w:tabs>
                <w:tab w:val="left" w:pos="0"/>
                <w:tab w:val="num" w:pos="540"/>
                <w:tab w:val="left" w:pos="567"/>
                <w:tab w:val="left" w:pos="709"/>
                <w:tab w:val="num" w:pos="1260"/>
              </w:tabs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</w:t>
            </w:r>
          </w:p>
        </w:tc>
        <w:tc>
          <w:tcPr>
            <w:tcW w:w="2277" w:type="pct"/>
          </w:tcPr>
          <w:p w14:paraId="2A104396" w14:textId="77777777" w:rsidR="00ED71FF" w:rsidRDefault="004D3CB8">
            <w:pPr>
              <w:tabs>
                <w:tab w:val="left" w:pos="0"/>
                <w:tab w:val="num" w:pos="540"/>
                <w:tab w:val="left" w:pos="567"/>
                <w:tab w:val="left" w:pos="709"/>
                <w:tab w:val="num" w:pos="1260"/>
              </w:tabs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Informacija apie struktūrinio postūmio užduoties numatomą vykdymą, jeigu pagal Konstitucinį įstatymą struktūrinio postūmio užduotis buvo nustatyta </w:t>
            </w:r>
            <w:r>
              <w:rPr>
                <w:i/>
                <w:szCs w:val="24"/>
                <w:lang w:eastAsia="lt-LT"/>
              </w:rPr>
              <w:t>t</w:t>
            </w:r>
            <w:r>
              <w:rPr>
                <w:szCs w:val="24"/>
                <w:lang w:eastAsia="lt-LT"/>
              </w:rPr>
              <w:t xml:space="preserve"> metams</w:t>
            </w:r>
          </w:p>
        </w:tc>
        <w:tc>
          <w:tcPr>
            <w:tcW w:w="804" w:type="pct"/>
            <w:vAlign w:val="center"/>
          </w:tcPr>
          <w:p w14:paraId="2A104397" w14:textId="77777777" w:rsidR="00ED71FF" w:rsidRDefault="004D3CB8">
            <w:pPr>
              <w:tabs>
                <w:tab w:val="left" w:pos="0"/>
                <w:tab w:val="num" w:pos="540"/>
                <w:tab w:val="left" w:pos="567"/>
                <w:tab w:val="left" w:pos="709"/>
                <w:tab w:val="num" w:pos="1260"/>
              </w:tabs>
              <w:jc w:val="center"/>
              <w:rPr>
                <w:szCs w:val="24"/>
                <w:lang w:eastAsia="lt-LT"/>
              </w:rPr>
            </w:pPr>
            <w:r>
              <w:rPr>
                <w:i/>
                <w:szCs w:val="24"/>
                <w:lang w:eastAsia="lt-LT"/>
              </w:rPr>
              <w:t>t</w:t>
            </w:r>
          </w:p>
        </w:tc>
        <w:tc>
          <w:tcPr>
            <w:tcW w:w="804" w:type="pct"/>
            <w:vAlign w:val="center"/>
          </w:tcPr>
          <w:p w14:paraId="2A104398" w14:textId="77777777" w:rsidR="00ED71FF" w:rsidRDefault="004D3CB8">
            <w:pPr>
              <w:tabs>
                <w:tab w:val="left" w:pos="0"/>
                <w:tab w:val="num" w:pos="540"/>
                <w:tab w:val="left" w:pos="567"/>
                <w:tab w:val="left" w:pos="709"/>
                <w:tab w:val="num" w:pos="1260"/>
              </w:tabs>
              <w:jc w:val="center"/>
              <w:rPr>
                <w:szCs w:val="24"/>
                <w:lang w:eastAsia="lt-LT"/>
              </w:rPr>
            </w:pPr>
            <w:r>
              <w:rPr>
                <w:i/>
                <w:szCs w:val="24"/>
                <w:lang w:eastAsia="lt-LT"/>
              </w:rPr>
              <w:t>t</w:t>
            </w:r>
          </w:p>
        </w:tc>
        <w:tc>
          <w:tcPr>
            <w:tcW w:w="844" w:type="pct"/>
            <w:vAlign w:val="center"/>
          </w:tcPr>
          <w:p w14:paraId="2A104399" w14:textId="77777777" w:rsidR="00ED71FF" w:rsidRDefault="004D3CB8">
            <w:pPr>
              <w:tabs>
                <w:tab w:val="left" w:pos="0"/>
                <w:tab w:val="num" w:pos="540"/>
                <w:tab w:val="left" w:pos="567"/>
                <w:tab w:val="left" w:pos="709"/>
                <w:tab w:val="num" w:pos="1260"/>
              </w:tabs>
              <w:jc w:val="center"/>
              <w:rPr>
                <w:szCs w:val="24"/>
                <w:lang w:eastAsia="lt-LT"/>
              </w:rPr>
            </w:pPr>
            <w:r>
              <w:rPr>
                <w:i/>
                <w:szCs w:val="24"/>
                <w:lang w:eastAsia="lt-LT"/>
              </w:rPr>
              <w:t>t</w:t>
            </w:r>
          </w:p>
        </w:tc>
      </w:tr>
      <w:tr w:rsidR="00ED71FF" w14:paraId="2A1043A0" w14:textId="77777777">
        <w:tc>
          <w:tcPr>
            <w:tcW w:w="270" w:type="pct"/>
            <w:vAlign w:val="center"/>
          </w:tcPr>
          <w:p w14:paraId="2A10439B" w14:textId="77777777" w:rsidR="00ED71FF" w:rsidRDefault="004D3CB8">
            <w:pPr>
              <w:tabs>
                <w:tab w:val="left" w:pos="0"/>
                <w:tab w:val="num" w:pos="540"/>
                <w:tab w:val="left" w:pos="567"/>
                <w:tab w:val="left" w:pos="709"/>
                <w:tab w:val="num" w:pos="1260"/>
              </w:tabs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</w:t>
            </w:r>
          </w:p>
        </w:tc>
        <w:tc>
          <w:tcPr>
            <w:tcW w:w="2277" w:type="pct"/>
          </w:tcPr>
          <w:p w14:paraId="2A10439C" w14:textId="77777777" w:rsidR="00ED71FF" w:rsidRDefault="004D3CB8">
            <w:pPr>
              <w:tabs>
                <w:tab w:val="left" w:pos="0"/>
                <w:tab w:val="num" w:pos="540"/>
                <w:tab w:val="left" w:pos="567"/>
                <w:tab w:val="left" w:pos="709"/>
                <w:tab w:val="num" w:pos="1260"/>
              </w:tabs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Informacija </w:t>
            </w:r>
            <w:r>
              <w:rPr>
                <w:szCs w:val="24"/>
                <w:lang w:eastAsia="lt-LT"/>
              </w:rPr>
              <w:t>apie valdžios sektoriaus išlaidų pasikeitimą ir pasikeitimo palyginimas su naujausiu žinomu didžiausiu leidžiamu valdžios sektoriaus išlaidų pasikeitimu, nustatytu pagal Stabilumo ir augimo paktą</w:t>
            </w:r>
          </w:p>
        </w:tc>
        <w:tc>
          <w:tcPr>
            <w:tcW w:w="804" w:type="pct"/>
            <w:vAlign w:val="center"/>
          </w:tcPr>
          <w:p w14:paraId="2A10439D" w14:textId="77777777" w:rsidR="00ED71FF" w:rsidRDefault="004D3CB8">
            <w:pPr>
              <w:tabs>
                <w:tab w:val="left" w:pos="0"/>
                <w:tab w:val="num" w:pos="540"/>
                <w:tab w:val="left" w:pos="567"/>
                <w:tab w:val="left" w:pos="709"/>
                <w:tab w:val="num" w:pos="1260"/>
              </w:tabs>
              <w:jc w:val="center"/>
              <w:rPr>
                <w:szCs w:val="24"/>
                <w:lang w:eastAsia="lt-LT"/>
              </w:rPr>
            </w:pPr>
            <w:r>
              <w:rPr>
                <w:i/>
                <w:szCs w:val="24"/>
                <w:lang w:eastAsia="lt-LT"/>
              </w:rPr>
              <w:t>t</w:t>
            </w:r>
            <w:r>
              <w:rPr>
                <w:szCs w:val="24"/>
                <w:lang w:eastAsia="lt-LT"/>
              </w:rPr>
              <w:t xml:space="preserve">, </w:t>
            </w:r>
            <w:r>
              <w:rPr>
                <w:i/>
                <w:szCs w:val="24"/>
                <w:lang w:eastAsia="lt-LT"/>
              </w:rPr>
              <w:t>t</w:t>
            </w:r>
            <w:r>
              <w:rPr>
                <w:szCs w:val="24"/>
                <w:lang w:eastAsia="lt-LT"/>
              </w:rPr>
              <w:t xml:space="preserve"> + 1</w:t>
            </w:r>
          </w:p>
        </w:tc>
        <w:tc>
          <w:tcPr>
            <w:tcW w:w="804" w:type="pct"/>
            <w:vAlign w:val="center"/>
          </w:tcPr>
          <w:p w14:paraId="2A10439E" w14:textId="77777777" w:rsidR="00ED71FF" w:rsidRDefault="004D3CB8">
            <w:pPr>
              <w:tabs>
                <w:tab w:val="left" w:pos="0"/>
                <w:tab w:val="num" w:pos="540"/>
                <w:tab w:val="left" w:pos="567"/>
                <w:tab w:val="left" w:pos="709"/>
                <w:tab w:val="num" w:pos="1260"/>
              </w:tabs>
              <w:jc w:val="center"/>
              <w:rPr>
                <w:szCs w:val="24"/>
                <w:lang w:eastAsia="lt-LT"/>
              </w:rPr>
            </w:pPr>
            <w:r>
              <w:rPr>
                <w:i/>
                <w:szCs w:val="24"/>
                <w:lang w:eastAsia="lt-LT"/>
              </w:rPr>
              <w:t>t</w:t>
            </w:r>
          </w:p>
        </w:tc>
        <w:tc>
          <w:tcPr>
            <w:tcW w:w="844" w:type="pct"/>
            <w:vAlign w:val="center"/>
          </w:tcPr>
          <w:p w14:paraId="2A10439F" w14:textId="77777777" w:rsidR="00ED71FF" w:rsidRDefault="004D3CB8">
            <w:pPr>
              <w:tabs>
                <w:tab w:val="left" w:pos="0"/>
                <w:tab w:val="num" w:pos="540"/>
                <w:tab w:val="left" w:pos="567"/>
                <w:tab w:val="left" w:pos="709"/>
                <w:tab w:val="num" w:pos="1260"/>
              </w:tabs>
              <w:jc w:val="center"/>
              <w:rPr>
                <w:szCs w:val="24"/>
                <w:lang w:eastAsia="lt-LT"/>
              </w:rPr>
            </w:pPr>
            <w:r>
              <w:rPr>
                <w:i/>
                <w:szCs w:val="24"/>
                <w:lang w:eastAsia="lt-LT"/>
              </w:rPr>
              <w:t>t</w:t>
            </w:r>
            <w:r>
              <w:rPr>
                <w:szCs w:val="24"/>
                <w:lang w:eastAsia="lt-LT"/>
              </w:rPr>
              <w:t xml:space="preserve">, </w:t>
            </w:r>
            <w:r>
              <w:rPr>
                <w:i/>
                <w:szCs w:val="24"/>
                <w:lang w:eastAsia="lt-LT"/>
              </w:rPr>
              <w:t>t</w:t>
            </w:r>
            <w:r>
              <w:rPr>
                <w:szCs w:val="24"/>
                <w:lang w:eastAsia="lt-LT"/>
              </w:rPr>
              <w:t xml:space="preserve"> + 1</w:t>
            </w:r>
          </w:p>
        </w:tc>
      </w:tr>
      <w:tr w:rsidR="00ED71FF" w14:paraId="2A1043A6" w14:textId="77777777">
        <w:tc>
          <w:tcPr>
            <w:tcW w:w="270" w:type="pct"/>
            <w:vAlign w:val="center"/>
          </w:tcPr>
          <w:p w14:paraId="2A1043A1" w14:textId="77777777" w:rsidR="00ED71FF" w:rsidRDefault="004D3CB8">
            <w:pPr>
              <w:tabs>
                <w:tab w:val="left" w:pos="0"/>
                <w:tab w:val="num" w:pos="540"/>
                <w:tab w:val="left" w:pos="567"/>
                <w:tab w:val="left" w:pos="709"/>
                <w:tab w:val="num" w:pos="1260"/>
              </w:tabs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5.</w:t>
            </w:r>
          </w:p>
        </w:tc>
        <w:tc>
          <w:tcPr>
            <w:tcW w:w="2277" w:type="pct"/>
          </w:tcPr>
          <w:p w14:paraId="2A1043A2" w14:textId="77777777" w:rsidR="00ED71FF" w:rsidRDefault="004D3CB8">
            <w:pPr>
              <w:tabs>
                <w:tab w:val="left" w:pos="0"/>
                <w:tab w:val="num" w:pos="540"/>
                <w:tab w:val="left" w:pos="567"/>
                <w:tab w:val="left" w:pos="709"/>
                <w:tab w:val="num" w:pos="1260"/>
              </w:tabs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Informacija apie valdžios sektoriui priskiriamų biudžetų asignavimų pasikeitimą, jei planuojant </w:t>
            </w:r>
            <w:r>
              <w:rPr>
                <w:i/>
                <w:szCs w:val="24"/>
                <w:lang w:eastAsia="lt-LT"/>
              </w:rPr>
              <w:t xml:space="preserve">t </w:t>
            </w:r>
            <w:r>
              <w:rPr>
                <w:szCs w:val="24"/>
                <w:lang w:eastAsia="lt-LT"/>
              </w:rPr>
              <w:t>metų biudžetus buvo taikoma Konstitucinio įstatymo 3 straipsnio 3 dalyje nustatyta valdžios sektoriaus išlaidų augimo ribojimo taisyklė</w:t>
            </w:r>
          </w:p>
        </w:tc>
        <w:tc>
          <w:tcPr>
            <w:tcW w:w="804" w:type="pct"/>
            <w:vAlign w:val="center"/>
          </w:tcPr>
          <w:p w14:paraId="2A1043A3" w14:textId="77777777" w:rsidR="00ED71FF" w:rsidRDefault="004D3CB8">
            <w:pPr>
              <w:tabs>
                <w:tab w:val="left" w:pos="0"/>
                <w:tab w:val="num" w:pos="540"/>
                <w:tab w:val="left" w:pos="567"/>
                <w:tab w:val="left" w:pos="709"/>
                <w:tab w:val="num" w:pos="1260"/>
              </w:tabs>
              <w:jc w:val="center"/>
              <w:rPr>
                <w:szCs w:val="24"/>
                <w:lang w:eastAsia="lt-LT"/>
              </w:rPr>
            </w:pPr>
            <w:r>
              <w:rPr>
                <w:i/>
                <w:szCs w:val="24"/>
                <w:lang w:eastAsia="lt-LT"/>
              </w:rPr>
              <w:t>t</w:t>
            </w:r>
            <w:r>
              <w:rPr>
                <w:szCs w:val="24"/>
                <w:lang w:eastAsia="lt-LT"/>
              </w:rPr>
              <w:t xml:space="preserve">, </w:t>
            </w:r>
            <w:r>
              <w:rPr>
                <w:i/>
                <w:szCs w:val="24"/>
                <w:lang w:eastAsia="lt-LT"/>
              </w:rPr>
              <w:t>t</w:t>
            </w:r>
            <w:r>
              <w:rPr>
                <w:szCs w:val="24"/>
                <w:lang w:eastAsia="lt-LT"/>
              </w:rPr>
              <w:t xml:space="preserve"> + 1</w:t>
            </w:r>
          </w:p>
        </w:tc>
        <w:tc>
          <w:tcPr>
            <w:tcW w:w="804" w:type="pct"/>
            <w:vAlign w:val="center"/>
          </w:tcPr>
          <w:p w14:paraId="2A1043A4" w14:textId="77777777" w:rsidR="00ED71FF" w:rsidRDefault="004D3CB8">
            <w:pPr>
              <w:tabs>
                <w:tab w:val="left" w:pos="0"/>
                <w:tab w:val="num" w:pos="540"/>
                <w:tab w:val="left" w:pos="567"/>
                <w:tab w:val="left" w:pos="709"/>
                <w:tab w:val="num" w:pos="1260"/>
              </w:tabs>
              <w:jc w:val="center"/>
              <w:rPr>
                <w:szCs w:val="24"/>
                <w:lang w:eastAsia="lt-LT"/>
              </w:rPr>
            </w:pPr>
            <w:r>
              <w:rPr>
                <w:i/>
                <w:szCs w:val="24"/>
                <w:lang w:eastAsia="lt-LT"/>
              </w:rPr>
              <w:t>t</w:t>
            </w:r>
          </w:p>
        </w:tc>
        <w:tc>
          <w:tcPr>
            <w:tcW w:w="844" w:type="pct"/>
            <w:vAlign w:val="center"/>
          </w:tcPr>
          <w:p w14:paraId="2A1043A5" w14:textId="77777777" w:rsidR="00ED71FF" w:rsidRDefault="004D3CB8">
            <w:pPr>
              <w:tabs>
                <w:tab w:val="left" w:pos="0"/>
                <w:tab w:val="num" w:pos="540"/>
                <w:tab w:val="left" w:pos="567"/>
                <w:tab w:val="left" w:pos="709"/>
                <w:tab w:val="num" w:pos="1260"/>
              </w:tabs>
              <w:jc w:val="center"/>
              <w:rPr>
                <w:szCs w:val="24"/>
                <w:lang w:eastAsia="lt-LT"/>
              </w:rPr>
            </w:pPr>
            <w:r>
              <w:rPr>
                <w:i/>
                <w:szCs w:val="24"/>
                <w:lang w:eastAsia="lt-LT"/>
              </w:rPr>
              <w:t>t</w:t>
            </w:r>
            <w:r>
              <w:rPr>
                <w:szCs w:val="24"/>
                <w:lang w:eastAsia="lt-LT"/>
              </w:rPr>
              <w:t xml:space="preserve">, </w:t>
            </w:r>
            <w:r>
              <w:rPr>
                <w:i/>
                <w:szCs w:val="24"/>
                <w:lang w:eastAsia="lt-LT"/>
              </w:rPr>
              <w:t>t</w:t>
            </w:r>
            <w:r>
              <w:rPr>
                <w:szCs w:val="24"/>
                <w:lang w:eastAsia="lt-LT"/>
              </w:rPr>
              <w:t xml:space="preserve"> + 1</w:t>
            </w:r>
          </w:p>
        </w:tc>
      </w:tr>
      <w:tr w:rsidR="00ED71FF" w14:paraId="2A1043AC" w14:textId="77777777">
        <w:tc>
          <w:tcPr>
            <w:tcW w:w="270" w:type="pct"/>
            <w:vAlign w:val="center"/>
          </w:tcPr>
          <w:p w14:paraId="2A1043A7" w14:textId="77777777" w:rsidR="00ED71FF" w:rsidRDefault="004D3CB8">
            <w:pPr>
              <w:tabs>
                <w:tab w:val="left" w:pos="0"/>
                <w:tab w:val="num" w:pos="540"/>
                <w:tab w:val="left" w:pos="567"/>
                <w:tab w:val="left" w:pos="709"/>
                <w:tab w:val="num" w:pos="1260"/>
              </w:tabs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6.</w:t>
            </w:r>
          </w:p>
        </w:tc>
        <w:tc>
          <w:tcPr>
            <w:tcW w:w="2277" w:type="pct"/>
          </w:tcPr>
          <w:p w14:paraId="2A1043A8" w14:textId="77777777" w:rsidR="00ED71FF" w:rsidRDefault="004D3CB8">
            <w:pPr>
              <w:tabs>
                <w:tab w:val="left" w:pos="0"/>
                <w:tab w:val="num" w:pos="540"/>
                <w:tab w:val="left" w:pos="567"/>
                <w:tab w:val="left" w:pos="709"/>
                <w:tab w:val="num" w:pos="1260"/>
              </w:tabs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Informacija apie atitiktį fiskalinės drausmės taisyklėms, nustatytoms Konstituciniu įstatymu ir Stabilumo ir augimo paktu</w:t>
            </w:r>
          </w:p>
        </w:tc>
        <w:tc>
          <w:tcPr>
            <w:tcW w:w="804" w:type="pct"/>
            <w:vAlign w:val="center"/>
          </w:tcPr>
          <w:p w14:paraId="2A1043A9" w14:textId="77777777" w:rsidR="00ED71FF" w:rsidRDefault="004D3CB8">
            <w:pPr>
              <w:tabs>
                <w:tab w:val="left" w:pos="0"/>
                <w:tab w:val="num" w:pos="540"/>
                <w:tab w:val="left" w:pos="567"/>
                <w:tab w:val="left" w:pos="709"/>
                <w:tab w:val="num" w:pos="1260"/>
              </w:tabs>
              <w:jc w:val="center"/>
              <w:rPr>
                <w:szCs w:val="24"/>
                <w:lang w:eastAsia="lt-LT"/>
              </w:rPr>
            </w:pPr>
            <w:r>
              <w:rPr>
                <w:i/>
                <w:szCs w:val="24"/>
                <w:lang w:eastAsia="lt-LT"/>
              </w:rPr>
              <w:t>t</w:t>
            </w:r>
            <w:r>
              <w:rPr>
                <w:szCs w:val="24"/>
                <w:lang w:eastAsia="lt-LT"/>
              </w:rPr>
              <w:t xml:space="preserve">, </w:t>
            </w:r>
            <w:r>
              <w:rPr>
                <w:i/>
                <w:szCs w:val="24"/>
                <w:lang w:eastAsia="lt-LT"/>
              </w:rPr>
              <w:t>t</w:t>
            </w:r>
            <w:r>
              <w:rPr>
                <w:szCs w:val="24"/>
                <w:lang w:eastAsia="lt-LT"/>
              </w:rPr>
              <w:t xml:space="preserve"> + 1</w:t>
            </w:r>
          </w:p>
        </w:tc>
        <w:tc>
          <w:tcPr>
            <w:tcW w:w="804" w:type="pct"/>
            <w:vAlign w:val="center"/>
          </w:tcPr>
          <w:p w14:paraId="2A1043AA" w14:textId="77777777" w:rsidR="00ED71FF" w:rsidRDefault="004D3CB8">
            <w:pPr>
              <w:tabs>
                <w:tab w:val="left" w:pos="0"/>
                <w:tab w:val="num" w:pos="540"/>
                <w:tab w:val="left" w:pos="567"/>
                <w:tab w:val="left" w:pos="709"/>
                <w:tab w:val="num" w:pos="1260"/>
              </w:tabs>
              <w:jc w:val="center"/>
              <w:rPr>
                <w:szCs w:val="24"/>
                <w:lang w:eastAsia="lt-LT"/>
              </w:rPr>
            </w:pPr>
            <w:r>
              <w:rPr>
                <w:i/>
                <w:szCs w:val="24"/>
                <w:lang w:eastAsia="lt-LT"/>
              </w:rPr>
              <w:t>t</w:t>
            </w:r>
          </w:p>
        </w:tc>
        <w:tc>
          <w:tcPr>
            <w:tcW w:w="844" w:type="pct"/>
            <w:vAlign w:val="center"/>
          </w:tcPr>
          <w:p w14:paraId="2A1043AB" w14:textId="77777777" w:rsidR="00ED71FF" w:rsidRDefault="004D3CB8">
            <w:pPr>
              <w:tabs>
                <w:tab w:val="left" w:pos="0"/>
                <w:tab w:val="num" w:pos="540"/>
                <w:tab w:val="left" w:pos="567"/>
                <w:tab w:val="left" w:pos="709"/>
                <w:tab w:val="num" w:pos="1260"/>
              </w:tabs>
              <w:jc w:val="center"/>
              <w:rPr>
                <w:szCs w:val="24"/>
                <w:lang w:eastAsia="lt-LT"/>
              </w:rPr>
            </w:pPr>
            <w:r>
              <w:rPr>
                <w:i/>
                <w:szCs w:val="24"/>
                <w:lang w:eastAsia="lt-LT"/>
              </w:rPr>
              <w:t>t</w:t>
            </w:r>
            <w:r>
              <w:rPr>
                <w:szCs w:val="24"/>
                <w:lang w:eastAsia="lt-LT"/>
              </w:rPr>
              <w:t xml:space="preserve">, </w:t>
            </w:r>
            <w:r>
              <w:rPr>
                <w:i/>
                <w:szCs w:val="24"/>
                <w:lang w:eastAsia="lt-LT"/>
              </w:rPr>
              <w:t>t</w:t>
            </w:r>
            <w:r>
              <w:rPr>
                <w:szCs w:val="24"/>
                <w:lang w:eastAsia="lt-LT"/>
              </w:rPr>
              <w:t xml:space="preserve"> + 1</w:t>
            </w:r>
          </w:p>
        </w:tc>
      </w:tr>
      <w:tr w:rsidR="00ED71FF" w14:paraId="2A1043B2" w14:textId="77777777">
        <w:tc>
          <w:tcPr>
            <w:tcW w:w="270" w:type="pct"/>
            <w:vAlign w:val="center"/>
          </w:tcPr>
          <w:p w14:paraId="2A1043AD" w14:textId="77777777" w:rsidR="00ED71FF" w:rsidRDefault="004D3CB8">
            <w:pPr>
              <w:tabs>
                <w:tab w:val="left" w:pos="0"/>
                <w:tab w:val="num" w:pos="540"/>
                <w:tab w:val="left" w:pos="567"/>
                <w:tab w:val="left" w:pos="709"/>
                <w:tab w:val="num" w:pos="1260"/>
              </w:tabs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7.</w:t>
            </w:r>
          </w:p>
        </w:tc>
        <w:tc>
          <w:tcPr>
            <w:tcW w:w="2277" w:type="pct"/>
          </w:tcPr>
          <w:p w14:paraId="2A1043AE" w14:textId="77777777" w:rsidR="00ED71FF" w:rsidRDefault="004D3CB8">
            <w:pPr>
              <w:tabs>
                <w:tab w:val="left" w:pos="0"/>
                <w:tab w:val="num" w:pos="540"/>
                <w:tab w:val="left" w:pos="567"/>
                <w:tab w:val="left" w:pos="709"/>
                <w:tab w:val="num" w:pos="1260"/>
              </w:tabs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Savivaldybių prognozinė informacija, pateikta pagal Savivaldybių biudžetų vykdymo prognozių teikimo tvarkos</w:t>
            </w:r>
            <w:r>
              <w:rPr>
                <w:szCs w:val="24"/>
                <w:lang w:eastAsia="lt-LT"/>
              </w:rPr>
              <w:t xml:space="preserve"> aprašą, patvirtintą Lietuvos Respublikos Vyriausybės 2017 m. kovo 22 d. nutarimu Nr. 208 „Dėl Savivaldybių biudžetų vykdymo prognozių teikimo tvarkos aprašo patvirtinimo“</w:t>
            </w:r>
          </w:p>
        </w:tc>
        <w:tc>
          <w:tcPr>
            <w:tcW w:w="804" w:type="pct"/>
            <w:vAlign w:val="center"/>
          </w:tcPr>
          <w:p w14:paraId="2A1043AF" w14:textId="77777777" w:rsidR="00ED71FF" w:rsidRDefault="004D3CB8">
            <w:pPr>
              <w:tabs>
                <w:tab w:val="left" w:pos="0"/>
                <w:tab w:val="num" w:pos="540"/>
                <w:tab w:val="left" w:pos="567"/>
                <w:tab w:val="left" w:pos="709"/>
                <w:tab w:val="num" w:pos="1260"/>
              </w:tabs>
              <w:jc w:val="center"/>
              <w:rPr>
                <w:szCs w:val="24"/>
                <w:lang w:eastAsia="lt-LT"/>
              </w:rPr>
            </w:pPr>
            <w:r>
              <w:rPr>
                <w:i/>
                <w:szCs w:val="24"/>
                <w:lang w:eastAsia="lt-LT"/>
              </w:rPr>
              <w:t>-</w:t>
            </w:r>
          </w:p>
        </w:tc>
        <w:tc>
          <w:tcPr>
            <w:tcW w:w="804" w:type="pct"/>
            <w:vAlign w:val="center"/>
          </w:tcPr>
          <w:p w14:paraId="2A1043B0" w14:textId="77777777" w:rsidR="00ED71FF" w:rsidRDefault="004D3CB8">
            <w:pPr>
              <w:tabs>
                <w:tab w:val="left" w:pos="0"/>
                <w:tab w:val="num" w:pos="540"/>
                <w:tab w:val="left" w:pos="567"/>
                <w:tab w:val="left" w:pos="709"/>
                <w:tab w:val="num" w:pos="1260"/>
              </w:tabs>
              <w:jc w:val="center"/>
              <w:rPr>
                <w:szCs w:val="24"/>
                <w:lang w:eastAsia="lt-LT"/>
              </w:rPr>
            </w:pPr>
            <w:r>
              <w:rPr>
                <w:i/>
                <w:szCs w:val="24"/>
                <w:lang w:eastAsia="lt-LT"/>
              </w:rPr>
              <w:t>t</w:t>
            </w:r>
          </w:p>
        </w:tc>
        <w:tc>
          <w:tcPr>
            <w:tcW w:w="844" w:type="pct"/>
            <w:vAlign w:val="center"/>
          </w:tcPr>
          <w:p w14:paraId="2A1043B1" w14:textId="77777777" w:rsidR="00ED71FF" w:rsidRDefault="004D3CB8">
            <w:pPr>
              <w:tabs>
                <w:tab w:val="left" w:pos="0"/>
                <w:tab w:val="num" w:pos="540"/>
                <w:tab w:val="left" w:pos="567"/>
                <w:tab w:val="left" w:pos="709"/>
                <w:tab w:val="num" w:pos="1260"/>
              </w:tabs>
              <w:jc w:val="center"/>
              <w:rPr>
                <w:szCs w:val="24"/>
                <w:lang w:eastAsia="lt-LT"/>
              </w:rPr>
            </w:pPr>
            <w:r>
              <w:rPr>
                <w:i/>
                <w:szCs w:val="24"/>
                <w:lang w:eastAsia="lt-LT"/>
              </w:rPr>
              <w:t>t</w:t>
            </w:r>
          </w:p>
        </w:tc>
      </w:tr>
      <w:tr w:rsidR="00ED71FF" w14:paraId="2A1043B8" w14:textId="77777777">
        <w:tc>
          <w:tcPr>
            <w:tcW w:w="270" w:type="pct"/>
            <w:vAlign w:val="center"/>
          </w:tcPr>
          <w:p w14:paraId="2A1043B3" w14:textId="77777777" w:rsidR="00ED71FF" w:rsidRDefault="004D3CB8">
            <w:pPr>
              <w:tabs>
                <w:tab w:val="left" w:pos="0"/>
                <w:tab w:val="num" w:pos="540"/>
                <w:tab w:val="left" w:pos="567"/>
                <w:tab w:val="left" w:pos="709"/>
                <w:tab w:val="num" w:pos="1260"/>
              </w:tabs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</w:t>
            </w:r>
          </w:p>
        </w:tc>
        <w:tc>
          <w:tcPr>
            <w:tcW w:w="2277" w:type="pct"/>
          </w:tcPr>
          <w:p w14:paraId="2A1043B4" w14:textId="77777777" w:rsidR="00ED71FF" w:rsidRDefault="004D3CB8">
            <w:pPr>
              <w:tabs>
                <w:tab w:val="left" w:pos="0"/>
                <w:tab w:val="num" w:pos="540"/>
                <w:tab w:val="left" w:pos="567"/>
                <w:tab w:val="left" w:pos="709"/>
                <w:tab w:val="num" w:pos="1260"/>
              </w:tabs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Rizikos veiksnių, kuriems įvykus numatomos stebimų valdžios sektoriaus </w:t>
            </w:r>
            <w:r>
              <w:rPr>
                <w:szCs w:val="24"/>
                <w:lang w:eastAsia="lt-LT"/>
              </w:rPr>
              <w:t>fiskalinių rodiklių reikšmės pasikeistų, sąrašas ir jų vertinimas</w:t>
            </w:r>
          </w:p>
        </w:tc>
        <w:tc>
          <w:tcPr>
            <w:tcW w:w="804" w:type="pct"/>
            <w:vAlign w:val="center"/>
          </w:tcPr>
          <w:p w14:paraId="2A1043B5" w14:textId="77777777" w:rsidR="00ED71FF" w:rsidRDefault="004D3CB8">
            <w:pPr>
              <w:tabs>
                <w:tab w:val="left" w:pos="0"/>
                <w:tab w:val="num" w:pos="540"/>
                <w:tab w:val="left" w:pos="567"/>
                <w:tab w:val="left" w:pos="709"/>
                <w:tab w:val="num" w:pos="1260"/>
              </w:tabs>
              <w:jc w:val="center"/>
              <w:rPr>
                <w:szCs w:val="24"/>
                <w:lang w:eastAsia="lt-LT"/>
              </w:rPr>
            </w:pPr>
            <w:r>
              <w:rPr>
                <w:i/>
                <w:szCs w:val="24"/>
                <w:lang w:eastAsia="lt-LT"/>
              </w:rPr>
              <w:t>t</w:t>
            </w:r>
            <w:r>
              <w:rPr>
                <w:szCs w:val="24"/>
                <w:lang w:eastAsia="lt-LT"/>
              </w:rPr>
              <w:t xml:space="preserve">, </w:t>
            </w:r>
            <w:r>
              <w:rPr>
                <w:i/>
                <w:szCs w:val="24"/>
                <w:lang w:eastAsia="lt-LT"/>
              </w:rPr>
              <w:t>t</w:t>
            </w:r>
            <w:r>
              <w:rPr>
                <w:szCs w:val="24"/>
                <w:lang w:eastAsia="lt-LT"/>
              </w:rPr>
              <w:t xml:space="preserve"> + 1, </w:t>
            </w:r>
            <w:r>
              <w:rPr>
                <w:i/>
                <w:szCs w:val="24"/>
                <w:lang w:eastAsia="lt-LT"/>
              </w:rPr>
              <w:t>t</w:t>
            </w:r>
            <w:r>
              <w:rPr>
                <w:szCs w:val="24"/>
                <w:lang w:eastAsia="lt-LT"/>
              </w:rPr>
              <w:t xml:space="preserve"> + 2, </w:t>
            </w:r>
            <w:r>
              <w:rPr>
                <w:i/>
                <w:szCs w:val="24"/>
                <w:lang w:eastAsia="lt-LT"/>
              </w:rPr>
              <w:t>t</w:t>
            </w:r>
            <w:r>
              <w:rPr>
                <w:szCs w:val="24"/>
                <w:lang w:eastAsia="lt-LT"/>
              </w:rPr>
              <w:t xml:space="preserve"> + 3</w:t>
            </w:r>
          </w:p>
        </w:tc>
        <w:tc>
          <w:tcPr>
            <w:tcW w:w="804" w:type="pct"/>
            <w:vAlign w:val="center"/>
          </w:tcPr>
          <w:p w14:paraId="2A1043B6" w14:textId="77777777" w:rsidR="00ED71FF" w:rsidRDefault="004D3CB8">
            <w:pPr>
              <w:tabs>
                <w:tab w:val="left" w:pos="0"/>
                <w:tab w:val="num" w:pos="540"/>
                <w:tab w:val="left" w:pos="567"/>
                <w:tab w:val="left" w:pos="709"/>
                <w:tab w:val="num" w:pos="1260"/>
              </w:tabs>
              <w:jc w:val="center"/>
              <w:rPr>
                <w:szCs w:val="24"/>
                <w:lang w:eastAsia="lt-LT"/>
              </w:rPr>
            </w:pPr>
            <w:r>
              <w:rPr>
                <w:i/>
                <w:szCs w:val="24"/>
                <w:lang w:eastAsia="lt-LT"/>
              </w:rPr>
              <w:t>t</w:t>
            </w:r>
          </w:p>
        </w:tc>
        <w:tc>
          <w:tcPr>
            <w:tcW w:w="844" w:type="pct"/>
            <w:vAlign w:val="center"/>
          </w:tcPr>
          <w:p w14:paraId="2A1043B7" w14:textId="77777777" w:rsidR="00ED71FF" w:rsidRDefault="004D3CB8">
            <w:pPr>
              <w:tabs>
                <w:tab w:val="left" w:pos="0"/>
                <w:tab w:val="num" w:pos="540"/>
                <w:tab w:val="left" w:pos="567"/>
                <w:tab w:val="left" w:pos="709"/>
                <w:tab w:val="num" w:pos="1260"/>
              </w:tabs>
              <w:jc w:val="center"/>
              <w:rPr>
                <w:szCs w:val="24"/>
                <w:lang w:eastAsia="lt-LT"/>
              </w:rPr>
            </w:pPr>
            <w:r>
              <w:rPr>
                <w:i/>
                <w:szCs w:val="24"/>
                <w:lang w:eastAsia="lt-LT"/>
              </w:rPr>
              <w:t>t</w:t>
            </w:r>
            <w:r>
              <w:rPr>
                <w:szCs w:val="24"/>
                <w:lang w:eastAsia="lt-LT"/>
              </w:rPr>
              <w:t xml:space="preserve">, </w:t>
            </w:r>
            <w:r>
              <w:rPr>
                <w:i/>
                <w:szCs w:val="24"/>
                <w:lang w:eastAsia="lt-LT"/>
              </w:rPr>
              <w:t>t</w:t>
            </w:r>
            <w:r>
              <w:rPr>
                <w:szCs w:val="24"/>
                <w:lang w:eastAsia="lt-LT"/>
              </w:rPr>
              <w:t xml:space="preserve"> + 1, </w:t>
            </w:r>
            <w:r>
              <w:rPr>
                <w:i/>
                <w:szCs w:val="24"/>
                <w:lang w:eastAsia="lt-LT"/>
              </w:rPr>
              <w:t>t</w:t>
            </w:r>
            <w:r>
              <w:rPr>
                <w:szCs w:val="24"/>
                <w:lang w:eastAsia="lt-LT"/>
              </w:rPr>
              <w:t xml:space="preserve"> + 2, </w:t>
            </w:r>
            <w:r>
              <w:rPr>
                <w:i/>
                <w:szCs w:val="24"/>
                <w:lang w:eastAsia="lt-LT"/>
              </w:rPr>
              <w:t>t</w:t>
            </w:r>
            <w:r>
              <w:rPr>
                <w:szCs w:val="24"/>
                <w:lang w:eastAsia="lt-LT"/>
              </w:rPr>
              <w:t> + 3</w:t>
            </w:r>
          </w:p>
        </w:tc>
      </w:tr>
      <w:tr w:rsidR="00ED71FF" w14:paraId="2A1043BE" w14:textId="77777777">
        <w:tc>
          <w:tcPr>
            <w:tcW w:w="270" w:type="pct"/>
            <w:vAlign w:val="center"/>
          </w:tcPr>
          <w:p w14:paraId="2A1043B9" w14:textId="77777777" w:rsidR="00ED71FF" w:rsidRDefault="004D3CB8">
            <w:pPr>
              <w:tabs>
                <w:tab w:val="left" w:pos="0"/>
                <w:tab w:val="num" w:pos="540"/>
                <w:tab w:val="left" w:pos="567"/>
                <w:tab w:val="left" w:pos="709"/>
                <w:tab w:val="num" w:pos="1260"/>
              </w:tabs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9.</w:t>
            </w:r>
          </w:p>
        </w:tc>
        <w:tc>
          <w:tcPr>
            <w:tcW w:w="2277" w:type="pct"/>
          </w:tcPr>
          <w:p w14:paraId="2A1043BA" w14:textId="77777777" w:rsidR="00ED71FF" w:rsidRDefault="004D3CB8">
            <w:pPr>
              <w:tabs>
                <w:tab w:val="left" w:pos="0"/>
                <w:tab w:val="num" w:pos="540"/>
                <w:tab w:val="left" w:pos="567"/>
                <w:tab w:val="left" w:pos="709"/>
                <w:tab w:val="num" w:pos="1260"/>
              </w:tabs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Kita aktuali informacija</w:t>
            </w:r>
          </w:p>
        </w:tc>
        <w:tc>
          <w:tcPr>
            <w:tcW w:w="804" w:type="pct"/>
            <w:vAlign w:val="center"/>
          </w:tcPr>
          <w:p w14:paraId="2A1043BB" w14:textId="77777777" w:rsidR="00ED71FF" w:rsidRDefault="004D3CB8">
            <w:pPr>
              <w:tabs>
                <w:tab w:val="left" w:pos="0"/>
                <w:tab w:val="num" w:pos="540"/>
                <w:tab w:val="left" w:pos="567"/>
                <w:tab w:val="left" w:pos="709"/>
                <w:tab w:val="num" w:pos="1260"/>
              </w:tabs>
              <w:jc w:val="center"/>
              <w:rPr>
                <w:szCs w:val="24"/>
                <w:lang w:eastAsia="lt-LT"/>
              </w:rPr>
            </w:pPr>
            <w:r>
              <w:rPr>
                <w:i/>
                <w:szCs w:val="24"/>
                <w:lang w:eastAsia="lt-LT"/>
              </w:rPr>
              <w:t>t</w:t>
            </w:r>
            <w:r>
              <w:rPr>
                <w:szCs w:val="24"/>
                <w:lang w:eastAsia="lt-LT"/>
              </w:rPr>
              <w:t xml:space="preserve">, </w:t>
            </w:r>
            <w:r>
              <w:rPr>
                <w:i/>
                <w:szCs w:val="24"/>
                <w:lang w:eastAsia="lt-LT"/>
              </w:rPr>
              <w:t>t</w:t>
            </w:r>
            <w:r>
              <w:rPr>
                <w:szCs w:val="24"/>
                <w:lang w:eastAsia="lt-LT"/>
              </w:rPr>
              <w:t xml:space="preserve"> + 1, </w:t>
            </w:r>
            <w:r>
              <w:rPr>
                <w:i/>
                <w:szCs w:val="24"/>
                <w:lang w:eastAsia="lt-LT"/>
              </w:rPr>
              <w:t>t</w:t>
            </w:r>
            <w:r>
              <w:rPr>
                <w:szCs w:val="24"/>
                <w:lang w:eastAsia="lt-LT"/>
              </w:rPr>
              <w:t xml:space="preserve"> + 2, </w:t>
            </w:r>
            <w:r>
              <w:rPr>
                <w:i/>
                <w:szCs w:val="24"/>
                <w:lang w:eastAsia="lt-LT"/>
              </w:rPr>
              <w:t>t</w:t>
            </w:r>
            <w:r>
              <w:rPr>
                <w:szCs w:val="24"/>
                <w:lang w:eastAsia="lt-LT"/>
              </w:rPr>
              <w:t xml:space="preserve"> + 3</w:t>
            </w:r>
          </w:p>
        </w:tc>
        <w:tc>
          <w:tcPr>
            <w:tcW w:w="804" w:type="pct"/>
            <w:vAlign w:val="center"/>
          </w:tcPr>
          <w:p w14:paraId="2A1043BC" w14:textId="77777777" w:rsidR="00ED71FF" w:rsidRDefault="004D3CB8">
            <w:pPr>
              <w:tabs>
                <w:tab w:val="left" w:pos="0"/>
                <w:tab w:val="num" w:pos="540"/>
                <w:tab w:val="left" w:pos="567"/>
                <w:tab w:val="left" w:pos="709"/>
                <w:tab w:val="num" w:pos="1260"/>
              </w:tabs>
              <w:jc w:val="center"/>
              <w:rPr>
                <w:szCs w:val="24"/>
                <w:lang w:eastAsia="lt-LT"/>
              </w:rPr>
            </w:pPr>
            <w:r>
              <w:rPr>
                <w:i/>
                <w:szCs w:val="24"/>
                <w:lang w:eastAsia="lt-LT"/>
              </w:rPr>
              <w:t>t</w:t>
            </w:r>
          </w:p>
        </w:tc>
        <w:tc>
          <w:tcPr>
            <w:tcW w:w="844" w:type="pct"/>
            <w:vAlign w:val="center"/>
          </w:tcPr>
          <w:p w14:paraId="2A1043BD" w14:textId="77777777" w:rsidR="00ED71FF" w:rsidRDefault="004D3CB8">
            <w:pPr>
              <w:tabs>
                <w:tab w:val="left" w:pos="0"/>
                <w:tab w:val="num" w:pos="540"/>
                <w:tab w:val="left" w:pos="567"/>
                <w:tab w:val="left" w:pos="709"/>
                <w:tab w:val="num" w:pos="1260"/>
              </w:tabs>
              <w:jc w:val="center"/>
              <w:rPr>
                <w:szCs w:val="24"/>
                <w:lang w:eastAsia="lt-LT"/>
              </w:rPr>
            </w:pPr>
            <w:r>
              <w:rPr>
                <w:i/>
                <w:szCs w:val="24"/>
                <w:lang w:eastAsia="lt-LT"/>
              </w:rPr>
              <w:t>t</w:t>
            </w:r>
            <w:r>
              <w:rPr>
                <w:szCs w:val="24"/>
                <w:lang w:eastAsia="lt-LT"/>
              </w:rPr>
              <w:t xml:space="preserve">, </w:t>
            </w:r>
            <w:r>
              <w:rPr>
                <w:i/>
                <w:szCs w:val="24"/>
                <w:lang w:eastAsia="lt-LT"/>
              </w:rPr>
              <w:t>t</w:t>
            </w:r>
            <w:r>
              <w:rPr>
                <w:szCs w:val="24"/>
                <w:lang w:eastAsia="lt-LT"/>
              </w:rPr>
              <w:t xml:space="preserve"> + 1, </w:t>
            </w:r>
            <w:r>
              <w:rPr>
                <w:i/>
                <w:szCs w:val="24"/>
                <w:lang w:eastAsia="lt-LT"/>
              </w:rPr>
              <w:t>t</w:t>
            </w:r>
            <w:r>
              <w:rPr>
                <w:szCs w:val="24"/>
                <w:lang w:eastAsia="lt-LT"/>
              </w:rPr>
              <w:t xml:space="preserve"> + 2, </w:t>
            </w:r>
            <w:r>
              <w:rPr>
                <w:i/>
                <w:szCs w:val="24"/>
                <w:lang w:eastAsia="lt-LT"/>
              </w:rPr>
              <w:t>t</w:t>
            </w:r>
            <w:r>
              <w:rPr>
                <w:szCs w:val="24"/>
                <w:lang w:eastAsia="lt-LT"/>
              </w:rPr>
              <w:t> + 3</w:t>
            </w:r>
          </w:p>
        </w:tc>
      </w:tr>
      <w:tr w:rsidR="00ED71FF" w14:paraId="2A1043C1" w14:textId="77777777">
        <w:tc>
          <w:tcPr>
            <w:tcW w:w="270" w:type="pct"/>
            <w:vAlign w:val="center"/>
          </w:tcPr>
          <w:p w14:paraId="2A1043BF" w14:textId="77777777" w:rsidR="00ED71FF" w:rsidRDefault="004D3CB8">
            <w:pPr>
              <w:tabs>
                <w:tab w:val="left" w:pos="0"/>
                <w:tab w:val="num" w:pos="540"/>
                <w:tab w:val="left" w:pos="567"/>
                <w:tab w:val="left" w:pos="709"/>
                <w:tab w:val="num" w:pos="1260"/>
              </w:tabs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10.</w:t>
            </w:r>
          </w:p>
        </w:tc>
        <w:tc>
          <w:tcPr>
            <w:tcW w:w="4730" w:type="pct"/>
            <w:gridSpan w:val="4"/>
          </w:tcPr>
          <w:p w14:paraId="2A1043C0" w14:textId="77777777" w:rsidR="00ED71FF" w:rsidRDefault="004D3CB8">
            <w:pPr>
              <w:tabs>
                <w:tab w:val="left" w:pos="0"/>
                <w:tab w:val="num" w:pos="540"/>
                <w:tab w:val="left" w:pos="567"/>
                <w:tab w:val="left" w:pos="709"/>
                <w:tab w:val="num" w:pos="1260"/>
              </w:tabs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Bet kuriuo kitu terminu teikiama papildoma informacija, jei </w:t>
            </w:r>
            <w:r>
              <w:rPr>
                <w:szCs w:val="24"/>
                <w:lang w:eastAsia="lt-LT"/>
              </w:rPr>
              <w:t xml:space="preserve">laikotarpiais tarp nurodytų terminų iš valdžios sektoriui priskirtų subjektų ar ministerijos administracijos padalinių gaunama informacijos, reikšmingai veikiančios ar galinčios paveikti stebimus valdžios </w:t>
            </w:r>
            <w:r>
              <w:rPr>
                <w:szCs w:val="24"/>
                <w:lang w:eastAsia="lt-LT"/>
              </w:rPr>
              <w:lastRenderedPageBreak/>
              <w:t>sektoriaus fiskalinius rodiklius, ar realizuojasi n</w:t>
            </w:r>
            <w:r>
              <w:rPr>
                <w:szCs w:val="24"/>
                <w:lang w:eastAsia="lt-LT"/>
              </w:rPr>
              <w:t>umatytosios rizikos veiksniai</w:t>
            </w:r>
          </w:p>
        </w:tc>
      </w:tr>
    </w:tbl>
    <w:p w14:paraId="2A1043C2" w14:textId="77777777" w:rsidR="00ED71FF" w:rsidRDefault="004D3CB8">
      <w:pPr>
        <w:tabs>
          <w:tab w:val="left" w:pos="0"/>
          <w:tab w:val="num" w:pos="540"/>
          <w:tab w:val="left" w:pos="567"/>
          <w:tab w:val="left" w:pos="709"/>
          <w:tab w:val="num" w:pos="1260"/>
        </w:tabs>
        <w:ind w:firstLine="709"/>
        <w:jc w:val="center"/>
        <w:rPr>
          <w:b/>
          <w:szCs w:val="24"/>
          <w:lang w:eastAsia="lt-LT"/>
        </w:rPr>
      </w:pPr>
    </w:p>
    <w:p w14:paraId="2A1043C3" w14:textId="77777777" w:rsidR="00ED71FF" w:rsidRDefault="004D3CB8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IV</w:t>
      </w:r>
      <w:r>
        <w:rPr>
          <w:b/>
          <w:szCs w:val="24"/>
          <w:lang w:eastAsia="lt-LT"/>
        </w:rPr>
        <w:t xml:space="preserve"> SKYRIUS</w:t>
      </w:r>
    </w:p>
    <w:p w14:paraId="2A1043C4" w14:textId="77777777" w:rsidR="00ED71FF" w:rsidRDefault="004D3CB8">
      <w:pPr>
        <w:tabs>
          <w:tab w:val="left" w:pos="1134"/>
        </w:tabs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 xml:space="preserve">INFORMACIJOS IR DUOMENŲ, TURINČIŲ ARBA GALINČIŲ TURĖTI ĮTAKOS SKAIČIUOJAMIEMS IR STEBIMIEMS VALDŽIOS SEKTORIAUS FISKALINIAMS RODIKLIAMS, TEIKIMAS </w:t>
      </w:r>
    </w:p>
    <w:p w14:paraId="2A1043C5" w14:textId="77777777" w:rsidR="00ED71FF" w:rsidRDefault="00ED71FF">
      <w:pPr>
        <w:tabs>
          <w:tab w:val="left" w:pos="1134"/>
        </w:tabs>
        <w:jc w:val="both"/>
        <w:rPr>
          <w:szCs w:val="24"/>
          <w:lang w:eastAsia="lt-LT"/>
        </w:rPr>
      </w:pPr>
    </w:p>
    <w:p w14:paraId="2A1043C6" w14:textId="77777777" w:rsidR="00ED71FF" w:rsidRDefault="004D3CB8">
      <w:pPr>
        <w:tabs>
          <w:tab w:val="left" w:pos="540"/>
          <w:tab w:val="left" w:pos="993"/>
        </w:tabs>
        <w:spacing w:line="276" w:lineRule="auto"/>
        <w:ind w:firstLine="709"/>
        <w:jc w:val="both"/>
        <w:rPr>
          <w:color w:val="000000"/>
          <w:szCs w:val="24"/>
          <w:lang w:eastAsia="lt-LT"/>
        </w:rPr>
      </w:pPr>
      <w:r>
        <w:rPr>
          <w:szCs w:val="24"/>
          <w:lang w:eastAsia="lt-LT"/>
        </w:rPr>
        <w:t>5</w:t>
      </w:r>
      <w:r>
        <w:rPr>
          <w:szCs w:val="24"/>
          <w:lang w:eastAsia="lt-LT"/>
        </w:rPr>
        <w:t>.</w:t>
      </w:r>
      <w:r>
        <w:rPr>
          <w:szCs w:val="24"/>
          <w:lang w:eastAsia="lt-LT"/>
        </w:rPr>
        <w:tab/>
      </w:r>
      <w:r>
        <w:rPr>
          <w:color w:val="000000"/>
          <w:szCs w:val="24"/>
          <w:lang w:eastAsia="lt-LT"/>
        </w:rPr>
        <w:t xml:space="preserve">Informaciją ir duomenis, turinčius arba galinčius </w:t>
      </w:r>
      <w:r>
        <w:rPr>
          <w:color w:val="000000"/>
          <w:szCs w:val="24"/>
          <w:lang w:eastAsia="lt-LT"/>
        </w:rPr>
        <w:t>turėti įtakos skaičiuojamiems ir stebimiems valdžios sektoriaus fiskaliniams rodikliams, Fiskalinės priežiūros skyriui teikia:</w:t>
      </w:r>
    </w:p>
    <w:p w14:paraId="2A1043C7" w14:textId="77777777" w:rsidR="00ED71FF" w:rsidRDefault="004D3CB8">
      <w:pPr>
        <w:tabs>
          <w:tab w:val="left" w:pos="1134"/>
        </w:tabs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5.1</w:t>
      </w:r>
      <w:r>
        <w:rPr>
          <w:szCs w:val="24"/>
          <w:lang w:eastAsia="lt-LT"/>
        </w:rPr>
        <w:t>.</w:t>
      </w:r>
      <w:r>
        <w:rPr>
          <w:szCs w:val="24"/>
          <w:lang w:eastAsia="lt-LT"/>
        </w:rPr>
        <w:tab/>
        <w:t>Biudžeto departamentas:</w:t>
      </w:r>
    </w:p>
    <w:p w14:paraId="2A1043C8" w14:textId="77777777" w:rsidR="00ED71FF" w:rsidRDefault="004D3CB8">
      <w:pPr>
        <w:tabs>
          <w:tab w:val="left" w:pos="1134"/>
        </w:tabs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5.1.1</w:t>
      </w:r>
      <w:r>
        <w:rPr>
          <w:szCs w:val="24"/>
          <w:lang w:eastAsia="lt-LT"/>
        </w:rPr>
        <w:t>.</w:t>
      </w:r>
      <w:r>
        <w:rPr>
          <w:szCs w:val="24"/>
          <w:lang w:eastAsia="lt-LT"/>
        </w:rPr>
        <w:tab/>
        <w:t>duomenis apie valstybės biudžeto išlaidas pagal ekonominės klasifikacijos straipsnius;</w:t>
      </w:r>
    </w:p>
    <w:p w14:paraId="2A1043C9" w14:textId="77777777" w:rsidR="00ED71FF" w:rsidRDefault="004D3CB8">
      <w:pPr>
        <w:tabs>
          <w:tab w:val="left" w:pos="1134"/>
        </w:tabs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5.1.2</w:t>
      </w:r>
      <w:r>
        <w:rPr>
          <w:szCs w:val="24"/>
          <w:lang w:eastAsia="lt-LT"/>
        </w:rPr>
        <w:t>.</w:t>
      </w:r>
      <w:r>
        <w:rPr>
          <w:szCs w:val="24"/>
          <w:lang w:eastAsia="lt-LT"/>
        </w:rPr>
        <w:tab/>
        <w:t xml:space="preserve">duomenis apie centrinės valdžios </w:t>
      </w:r>
      <w:proofErr w:type="spellStart"/>
      <w:r>
        <w:rPr>
          <w:szCs w:val="24"/>
          <w:lang w:eastAsia="lt-LT"/>
        </w:rPr>
        <w:t>subsektoriui</w:t>
      </w:r>
      <w:proofErr w:type="spellEnd"/>
      <w:r>
        <w:rPr>
          <w:szCs w:val="24"/>
          <w:lang w:eastAsia="lt-LT"/>
        </w:rPr>
        <w:t>, kaip jis suprantamas pagal ESS, priskiriamų nebiudžetinių fondų (Rezervinio (stabilizavimo), Ignalinos atominės elektrinės eksploatavimo nutraukimo fondus ir kt.) pajamas ir išlaidas;</w:t>
      </w:r>
    </w:p>
    <w:p w14:paraId="2A1043CA" w14:textId="77777777" w:rsidR="00ED71FF" w:rsidRDefault="004D3CB8">
      <w:pPr>
        <w:tabs>
          <w:tab w:val="left" w:pos="1134"/>
        </w:tabs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5.1.3</w:t>
      </w:r>
      <w:r>
        <w:rPr>
          <w:szCs w:val="24"/>
          <w:lang w:eastAsia="lt-LT"/>
        </w:rPr>
        <w:t>.</w:t>
      </w:r>
      <w:r>
        <w:rPr>
          <w:szCs w:val="24"/>
          <w:lang w:eastAsia="lt-LT"/>
        </w:rPr>
        <w:tab/>
        <w:t>duome</w:t>
      </w:r>
      <w:r>
        <w:rPr>
          <w:szCs w:val="24"/>
          <w:lang w:eastAsia="lt-LT"/>
        </w:rPr>
        <w:t xml:space="preserve">nis apie socialinio draudimo </w:t>
      </w:r>
      <w:proofErr w:type="spellStart"/>
      <w:r>
        <w:rPr>
          <w:szCs w:val="24"/>
          <w:lang w:eastAsia="lt-LT"/>
        </w:rPr>
        <w:t>subsektoriui</w:t>
      </w:r>
      <w:proofErr w:type="spellEnd"/>
      <w:r>
        <w:rPr>
          <w:szCs w:val="24"/>
          <w:lang w:eastAsia="lt-LT"/>
        </w:rPr>
        <w:t>, kaip jis suprantamas pagal ESS, priskiriamų fondų (Garantinio ir Ilgalaikio darbo išmokų fondų) pajamas ir išlaidas;</w:t>
      </w:r>
    </w:p>
    <w:p w14:paraId="2A1043CB" w14:textId="77777777" w:rsidR="00ED71FF" w:rsidRDefault="004D3CB8">
      <w:pPr>
        <w:tabs>
          <w:tab w:val="left" w:pos="1134"/>
        </w:tabs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5.1.4</w:t>
      </w:r>
      <w:r>
        <w:rPr>
          <w:szCs w:val="24"/>
          <w:lang w:eastAsia="lt-LT"/>
        </w:rPr>
        <w:t>.</w:t>
      </w:r>
      <w:r>
        <w:rPr>
          <w:szCs w:val="24"/>
          <w:lang w:eastAsia="lt-LT"/>
        </w:rPr>
        <w:tab/>
        <w:t>duomenis apie</w:t>
      </w:r>
      <w:r>
        <w:rPr>
          <w:lang w:eastAsia="lt-LT"/>
        </w:rPr>
        <w:t xml:space="preserve"> </w:t>
      </w:r>
      <w:r>
        <w:rPr>
          <w:szCs w:val="24"/>
          <w:lang w:eastAsia="lt-LT"/>
        </w:rPr>
        <w:t>programų, finansuojamų iš valstybės biudžeto pajamų iš mokesčių dalies,</w:t>
      </w:r>
      <w:r>
        <w:rPr>
          <w:szCs w:val="24"/>
          <w:lang w:eastAsia="lt-LT"/>
        </w:rPr>
        <w:t xml:space="preserve"> kurios panaudojimo apimtis ir paskirtis nurodyta įstatyme, Lietuvos Respublikos Vyriausybės nutarime (Klimato kaitos specialioji programa ir kt.), pajamas ir išlaidas (įskaitant ir faktinius duomenis už praėjusius metus);</w:t>
      </w:r>
    </w:p>
    <w:p w14:paraId="2A1043CC" w14:textId="77777777" w:rsidR="00ED71FF" w:rsidRDefault="004D3CB8">
      <w:pPr>
        <w:tabs>
          <w:tab w:val="left" w:pos="1134"/>
        </w:tabs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5.1.5</w:t>
      </w:r>
      <w:r>
        <w:rPr>
          <w:szCs w:val="24"/>
          <w:lang w:eastAsia="lt-LT"/>
        </w:rPr>
        <w:t>.</w:t>
      </w:r>
      <w:r>
        <w:rPr>
          <w:szCs w:val="24"/>
          <w:lang w:eastAsia="lt-LT"/>
        </w:rPr>
        <w:tab/>
        <w:t>duomenis apie Lietuvos</w:t>
      </w:r>
      <w:r>
        <w:rPr>
          <w:szCs w:val="24"/>
          <w:lang w:eastAsia="lt-LT"/>
        </w:rPr>
        <w:t xml:space="preserve"> Respublikos investicijų programos bendrą investicijų sumą, nurodydamas lėšų šaltinį ir informaciją apie numatomą lėšų panaudojimą einamaisiais metais;</w:t>
      </w:r>
    </w:p>
    <w:p w14:paraId="2A1043CD" w14:textId="77777777" w:rsidR="00ED71FF" w:rsidRDefault="004D3CB8">
      <w:pPr>
        <w:tabs>
          <w:tab w:val="left" w:pos="1134"/>
        </w:tabs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5.1.6</w:t>
      </w:r>
      <w:r>
        <w:rPr>
          <w:szCs w:val="24"/>
          <w:lang w:eastAsia="lt-LT"/>
        </w:rPr>
        <w:t>.</w:t>
      </w:r>
      <w:r>
        <w:rPr>
          <w:szCs w:val="24"/>
          <w:lang w:eastAsia="lt-LT"/>
        </w:rPr>
        <w:tab/>
        <w:t>duomenis apie savivaldybėms iš valstybės biudžeto skiriamų dotacijų dydį;</w:t>
      </w:r>
    </w:p>
    <w:p w14:paraId="2A1043CE" w14:textId="77777777" w:rsidR="00ED71FF" w:rsidRDefault="004D3CB8">
      <w:pPr>
        <w:tabs>
          <w:tab w:val="left" w:pos="1134"/>
        </w:tabs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5.1.7</w:t>
      </w:r>
      <w:r>
        <w:rPr>
          <w:szCs w:val="24"/>
          <w:lang w:eastAsia="lt-LT"/>
        </w:rPr>
        <w:t>.</w:t>
      </w:r>
      <w:r>
        <w:rPr>
          <w:szCs w:val="24"/>
          <w:lang w:eastAsia="lt-LT"/>
        </w:rPr>
        <w:tab/>
        <w:t>duomenis</w:t>
      </w:r>
      <w:r>
        <w:rPr>
          <w:szCs w:val="24"/>
          <w:lang w:eastAsia="lt-LT"/>
        </w:rPr>
        <w:t xml:space="preserve"> apie Europos Sąjungos ir kitos tarptautinės finansinės paramos lėšų sumas pagal ekonominės klasifikacijos straipsnius ir bendrajam finansavimui numatomas valstybės biudžeto lėšas;</w:t>
      </w:r>
    </w:p>
    <w:p w14:paraId="2A1043CF" w14:textId="77777777" w:rsidR="00ED71FF" w:rsidRDefault="004D3CB8">
      <w:pPr>
        <w:tabs>
          <w:tab w:val="left" w:pos="1134"/>
        </w:tabs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5.1.8</w:t>
      </w:r>
      <w:r>
        <w:rPr>
          <w:szCs w:val="24"/>
          <w:lang w:eastAsia="lt-LT"/>
        </w:rPr>
        <w:t>.</w:t>
      </w:r>
      <w:r>
        <w:rPr>
          <w:szCs w:val="24"/>
          <w:lang w:eastAsia="lt-LT"/>
        </w:rPr>
        <w:tab/>
        <w:t>duomenis apie lėšų, susijusių su nuosavybės teisių į turtą atkūr</w:t>
      </w:r>
      <w:r>
        <w:rPr>
          <w:szCs w:val="24"/>
          <w:lang w:eastAsia="lt-LT"/>
        </w:rPr>
        <w:t>imu ir kompensacijų išmokėjimu, ir kitų įsipareigojimų, susijusių su teismų sprendimų vykdymu, sumas;</w:t>
      </w:r>
    </w:p>
    <w:p w14:paraId="2A1043D0" w14:textId="77777777" w:rsidR="00ED71FF" w:rsidRDefault="004D3CB8">
      <w:pPr>
        <w:tabs>
          <w:tab w:val="left" w:pos="1134"/>
        </w:tabs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5.1.9</w:t>
      </w:r>
      <w:r>
        <w:rPr>
          <w:szCs w:val="24"/>
          <w:lang w:eastAsia="lt-LT"/>
        </w:rPr>
        <w:t>.</w:t>
      </w:r>
      <w:r>
        <w:rPr>
          <w:szCs w:val="24"/>
          <w:lang w:eastAsia="lt-LT"/>
        </w:rPr>
        <w:tab/>
        <w:t>duomenis apie tiesioginių išmokų žemės ūkiui ir kitų mokėjimų bei įsipareigojimų, susijusių su žemės ūkiu, sumas;</w:t>
      </w:r>
    </w:p>
    <w:p w14:paraId="2A1043D1" w14:textId="77777777" w:rsidR="00ED71FF" w:rsidRDefault="004D3CB8">
      <w:pPr>
        <w:tabs>
          <w:tab w:val="left" w:pos="1134"/>
        </w:tabs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5.1.10</w:t>
      </w:r>
      <w:r>
        <w:rPr>
          <w:szCs w:val="24"/>
          <w:lang w:eastAsia="lt-LT"/>
        </w:rPr>
        <w:t>.</w:t>
      </w:r>
      <w:r>
        <w:rPr>
          <w:szCs w:val="24"/>
          <w:lang w:eastAsia="lt-LT"/>
        </w:rPr>
        <w:tab/>
        <w:t xml:space="preserve">informaciją apie </w:t>
      </w:r>
      <w:r>
        <w:rPr>
          <w:szCs w:val="24"/>
          <w:lang w:eastAsia="lt-LT"/>
        </w:rPr>
        <w:t>valstybės biudžeto, nebiudžetinių fondų, priskiriamų centrinei valdžiai, išlaidų politikos pasikeitimus (diskrecines išlaidų priemones) ir numatomų pokyčių kiekybinį įvertinimą;</w:t>
      </w:r>
    </w:p>
    <w:p w14:paraId="2A1043D2" w14:textId="77777777" w:rsidR="00ED71FF" w:rsidRDefault="004D3CB8">
      <w:pPr>
        <w:tabs>
          <w:tab w:val="left" w:pos="1134"/>
        </w:tabs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5.2</w:t>
      </w:r>
      <w:r>
        <w:rPr>
          <w:szCs w:val="24"/>
          <w:lang w:eastAsia="lt-LT"/>
        </w:rPr>
        <w:t>.</w:t>
      </w:r>
      <w:r>
        <w:rPr>
          <w:szCs w:val="24"/>
          <w:lang w:eastAsia="lt-LT"/>
        </w:rPr>
        <w:tab/>
        <w:t>Finansų politikos departamento Pajamų analizės ir planavimo skyrius</w:t>
      </w:r>
      <w:r>
        <w:rPr>
          <w:szCs w:val="24"/>
          <w:lang w:eastAsia="lt-LT"/>
        </w:rPr>
        <w:t>:</w:t>
      </w:r>
    </w:p>
    <w:p w14:paraId="2A1043D3" w14:textId="77777777" w:rsidR="00ED71FF" w:rsidRDefault="004D3CB8">
      <w:pPr>
        <w:tabs>
          <w:tab w:val="left" w:pos="1134"/>
        </w:tabs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5.2.1</w:t>
      </w:r>
      <w:r>
        <w:rPr>
          <w:szCs w:val="24"/>
          <w:lang w:eastAsia="lt-LT"/>
        </w:rPr>
        <w:t>.</w:t>
      </w:r>
      <w:r>
        <w:rPr>
          <w:szCs w:val="24"/>
          <w:lang w:eastAsia="lt-LT"/>
        </w:rPr>
        <w:tab/>
        <w:t xml:space="preserve">valstybės biudžeto ir savivaldybių biudžetų pajamų </w:t>
      </w:r>
      <w:r>
        <w:rPr>
          <w:i/>
          <w:szCs w:val="24"/>
          <w:lang w:eastAsia="lt-LT"/>
        </w:rPr>
        <w:t xml:space="preserve">t </w:t>
      </w:r>
      <w:r>
        <w:rPr>
          <w:szCs w:val="24"/>
          <w:lang w:eastAsia="lt-LT"/>
        </w:rPr>
        <w:t xml:space="preserve">metų numatomo vykdymo duomenis; </w:t>
      </w:r>
    </w:p>
    <w:p w14:paraId="2A1043D4" w14:textId="77777777" w:rsidR="00ED71FF" w:rsidRDefault="004D3CB8">
      <w:pPr>
        <w:tabs>
          <w:tab w:val="left" w:pos="1134"/>
        </w:tabs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5.2.2</w:t>
      </w:r>
      <w:r>
        <w:rPr>
          <w:szCs w:val="24"/>
          <w:lang w:eastAsia="lt-LT"/>
        </w:rPr>
        <w:t>.</w:t>
      </w:r>
      <w:r>
        <w:rPr>
          <w:szCs w:val="24"/>
          <w:lang w:eastAsia="lt-LT"/>
        </w:rPr>
        <w:tab/>
        <w:t>valstybės ir savivaldybių biudžetų pajamų projekcijas;</w:t>
      </w:r>
    </w:p>
    <w:p w14:paraId="2A1043D5" w14:textId="77777777" w:rsidR="00ED71FF" w:rsidRDefault="004D3CB8">
      <w:pPr>
        <w:tabs>
          <w:tab w:val="left" w:pos="1134"/>
        </w:tabs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5.2.3</w:t>
      </w:r>
      <w:r>
        <w:rPr>
          <w:szCs w:val="24"/>
          <w:lang w:eastAsia="lt-LT"/>
        </w:rPr>
        <w:t>.</w:t>
      </w:r>
      <w:r>
        <w:rPr>
          <w:szCs w:val="24"/>
          <w:lang w:eastAsia="lt-LT"/>
        </w:rPr>
        <w:tab/>
        <w:t>informaciją apie valstybės ir savivaldybių biudžetų, socialinio draudimo fondų paj</w:t>
      </w:r>
      <w:r>
        <w:rPr>
          <w:szCs w:val="24"/>
          <w:lang w:eastAsia="lt-LT"/>
        </w:rPr>
        <w:t>amų politikos pasikeitimus (diskrecines pajamų priemones) ir numatomų pokyčių kiekybinį įvertinimą;</w:t>
      </w:r>
    </w:p>
    <w:p w14:paraId="2A1043D6" w14:textId="77777777" w:rsidR="00ED71FF" w:rsidRDefault="004D3CB8">
      <w:pPr>
        <w:tabs>
          <w:tab w:val="left" w:pos="1134"/>
        </w:tabs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5.2.4</w:t>
      </w:r>
      <w:r>
        <w:rPr>
          <w:szCs w:val="24"/>
          <w:lang w:eastAsia="lt-LT"/>
        </w:rPr>
        <w:t>.</w:t>
      </w:r>
      <w:r>
        <w:rPr>
          <w:szCs w:val="24"/>
          <w:lang w:eastAsia="lt-LT"/>
        </w:rPr>
        <w:tab/>
        <w:t xml:space="preserve">duomenis apie atliekamus pajamų iš mokesčių koregavimus pagal ESS; </w:t>
      </w:r>
    </w:p>
    <w:p w14:paraId="2A1043D7" w14:textId="77777777" w:rsidR="00ED71FF" w:rsidRDefault="004D3CB8">
      <w:pPr>
        <w:tabs>
          <w:tab w:val="left" w:pos="1134"/>
        </w:tabs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5.3</w:t>
      </w:r>
      <w:r>
        <w:rPr>
          <w:szCs w:val="24"/>
          <w:lang w:eastAsia="lt-LT"/>
        </w:rPr>
        <w:t>.</w:t>
      </w:r>
      <w:r>
        <w:rPr>
          <w:szCs w:val="24"/>
          <w:lang w:eastAsia="lt-LT"/>
        </w:rPr>
        <w:tab/>
        <w:t>Valstybės iždo departamentas:</w:t>
      </w:r>
    </w:p>
    <w:p w14:paraId="2A1043D8" w14:textId="77777777" w:rsidR="00ED71FF" w:rsidRDefault="004D3CB8">
      <w:pPr>
        <w:tabs>
          <w:tab w:val="left" w:pos="1134"/>
        </w:tabs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5.3.1</w:t>
      </w:r>
      <w:r>
        <w:rPr>
          <w:szCs w:val="24"/>
          <w:lang w:eastAsia="lt-LT"/>
        </w:rPr>
        <w:t>.</w:t>
      </w:r>
      <w:r>
        <w:rPr>
          <w:szCs w:val="24"/>
          <w:lang w:eastAsia="lt-LT"/>
        </w:rPr>
        <w:tab/>
        <w:t>duomenis apie skolos valdym</w:t>
      </w:r>
      <w:r>
        <w:rPr>
          <w:szCs w:val="24"/>
          <w:lang w:eastAsia="lt-LT"/>
        </w:rPr>
        <w:t>o išlaidas, mokėtinas palūkanas už valdžios sektoriaus skolą (įvertinęs finansines išvestines priemones ir jų neįvertinęs, taikydamas kaupimo ir pinigų srautų principus);</w:t>
      </w:r>
    </w:p>
    <w:p w14:paraId="2A1043D9" w14:textId="77777777" w:rsidR="00ED71FF" w:rsidRDefault="004D3CB8">
      <w:pPr>
        <w:tabs>
          <w:tab w:val="left" w:pos="1134"/>
        </w:tabs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5.3.2</w:t>
      </w:r>
      <w:r>
        <w:rPr>
          <w:szCs w:val="24"/>
          <w:lang w:eastAsia="lt-LT"/>
        </w:rPr>
        <w:t>.</w:t>
      </w:r>
      <w:r>
        <w:rPr>
          <w:szCs w:val="24"/>
          <w:lang w:eastAsia="lt-LT"/>
        </w:rPr>
        <w:tab/>
        <w:t>informaciją apie numatomą valstybės biudžeto metinį išlaidų plano vykdymą;</w:t>
      </w:r>
    </w:p>
    <w:p w14:paraId="2A1043DA" w14:textId="77777777" w:rsidR="00ED71FF" w:rsidRDefault="004D3CB8">
      <w:pPr>
        <w:tabs>
          <w:tab w:val="left" w:pos="1134"/>
        </w:tabs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5.3.3</w:t>
      </w:r>
      <w:r>
        <w:rPr>
          <w:szCs w:val="24"/>
          <w:lang w:eastAsia="lt-LT"/>
        </w:rPr>
        <w:t>.</w:t>
      </w:r>
      <w:r>
        <w:rPr>
          <w:szCs w:val="24"/>
          <w:lang w:eastAsia="lt-LT"/>
        </w:rPr>
        <w:tab/>
        <w:t>duomenis apie beviltiškomis pripažįstamų paskolų sumas ir nurašomos skolos sumas;</w:t>
      </w:r>
    </w:p>
    <w:p w14:paraId="2A1043DB" w14:textId="77777777" w:rsidR="00ED71FF" w:rsidRDefault="004D3CB8">
      <w:pPr>
        <w:tabs>
          <w:tab w:val="left" w:pos="1134"/>
        </w:tabs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5.3.4</w:t>
      </w:r>
      <w:r>
        <w:rPr>
          <w:szCs w:val="24"/>
          <w:lang w:eastAsia="lt-LT"/>
        </w:rPr>
        <w:t>.</w:t>
      </w:r>
      <w:r>
        <w:rPr>
          <w:szCs w:val="24"/>
          <w:lang w:eastAsia="lt-LT"/>
        </w:rPr>
        <w:tab/>
        <w:t>įsipareigojimų pagal valstybės garantijas duomenis, duomenis apie garantijų įtraukimą į tiesioginę skolą;</w:t>
      </w:r>
    </w:p>
    <w:p w14:paraId="2A1043DC" w14:textId="77777777" w:rsidR="00ED71FF" w:rsidRDefault="004D3CB8">
      <w:pPr>
        <w:tabs>
          <w:tab w:val="left" w:pos="1134"/>
        </w:tabs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5.3.5</w:t>
      </w:r>
      <w:r>
        <w:rPr>
          <w:szCs w:val="24"/>
          <w:lang w:eastAsia="lt-LT"/>
        </w:rPr>
        <w:t>.</w:t>
      </w:r>
      <w:r>
        <w:rPr>
          <w:szCs w:val="24"/>
          <w:lang w:eastAsia="lt-LT"/>
        </w:rPr>
        <w:tab/>
        <w:t>informaciją apie Lietuvos Respubli</w:t>
      </w:r>
      <w:r>
        <w:rPr>
          <w:szCs w:val="24"/>
          <w:lang w:eastAsia="lt-LT"/>
        </w:rPr>
        <w:t xml:space="preserve">kos </w:t>
      </w:r>
      <w:r>
        <w:rPr>
          <w:i/>
          <w:szCs w:val="24"/>
          <w:lang w:eastAsia="lt-LT"/>
        </w:rPr>
        <w:t xml:space="preserve">t </w:t>
      </w:r>
      <w:r>
        <w:rPr>
          <w:szCs w:val="24"/>
          <w:lang w:eastAsia="lt-LT"/>
        </w:rPr>
        <w:t xml:space="preserve">metų valstybės biudžeto ir savivaldybių biudžetų finansinių rodiklių patvirtinimo įstatyme ir (ar) </w:t>
      </w:r>
      <w:r>
        <w:rPr>
          <w:i/>
          <w:szCs w:val="24"/>
          <w:lang w:eastAsia="lt-LT"/>
        </w:rPr>
        <w:t>t</w:t>
      </w:r>
      <w:r>
        <w:rPr>
          <w:szCs w:val="24"/>
          <w:lang w:eastAsia="lt-LT"/>
        </w:rPr>
        <w:t xml:space="preserve"> + 1 metų valstybės biudžeto ir </w:t>
      </w:r>
      <w:r>
        <w:rPr>
          <w:szCs w:val="24"/>
          <w:lang w:eastAsia="lt-LT"/>
        </w:rPr>
        <w:lastRenderedPageBreak/>
        <w:t>savivaldybių biudžetų finansinių rodiklių patvirtinimo įstatymo projekte nurodytų priemonių, kurioms numatyta skolinim</w:t>
      </w:r>
      <w:r>
        <w:rPr>
          <w:szCs w:val="24"/>
          <w:lang w:eastAsia="lt-LT"/>
        </w:rPr>
        <w:t>osi teisė, sąrašą ir numatomų šioms priemonėms finansuoti skolintų lėšų sumas;</w:t>
      </w:r>
    </w:p>
    <w:p w14:paraId="2A1043DD" w14:textId="77777777" w:rsidR="00ED71FF" w:rsidRDefault="004D3CB8">
      <w:pPr>
        <w:tabs>
          <w:tab w:val="left" w:pos="1134"/>
        </w:tabs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5.4</w:t>
      </w:r>
      <w:r>
        <w:rPr>
          <w:szCs w:val="24"/>
          <w:lang w:eastAsia="lt-LT"/>
        </w:rPr>
        <w:t>.</w:t>
      </w:r>
      <w:r>
        <w:rPr>
          <w:szCs w:val="24"/>
          <w:lang w:eastAsia="lt-LT"/>
        </w:rPr>
        <w:tab/>
        <w:t>Valstybės turto valdymo departamentas:</w:t>
      </w:r>
    </w:p>
    <w:p w14:paraId="2A1043DE" w14:textId="77777777" w:rsidR="00ED71FF" w:rsidRDefault="004D3CB8">
      <w:pPr>
        <w:tabs>
          <w:tab w:val="left" w:pos="1134"/>
        </w:tabs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5.4.1</w:t>
      </w:r>
      <w:r>
        <w:rPr>
          <w:szCs w:val="24"/>
          <w:lang w:eastAsia="lt-LT"/>
        </w:rPr>
        <w:t>.</w:t>
      </w:r>
      <w:r>
        <w:rPr>
          <w:szCs w:val="24"/>
          <w:lang w:eastAsia="lt-LT"/>
        </w:rPr>
        <w:tab/>
        <w:t>duomenis apie viešosios ir privačios partnerystės projektų kapitalo investicijų sumas;</w:t>
      </w:r>
    </w:p>
    <w:p w14:paraId="2A1043DF" w14:textId="77777777" w:rsidR="00ED71FF" w:rsidRDefault="004D3CB8">
      <w:pPr>
        <w:tabs>
          <w:tab w:val="left" w:pos="1134"/>
        </w:tabs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5.4.2</w:t>
      </w:r>
      <w:r>
        <w:rPr>
          <w:szCs w:val="24"/>
          <w:lang w:eastAsia="lt-LT"/>
        </w:rPr>
        <w:t>.</w:t>
      </w:r>
      <w:r>
        <w:rPr>
          <w:szCs w:val="24"/>
          <w:lang w:eastAsia="lt-LT"/>
        </w:rPr>
        <w:tab/>
        <w:t xml:space="preserve">valdžios sektoriaus </w:t>
      </w:r>
      <w:r>
        <w:rPr>
          <w:szCs w:val="24"/>
          <w:lang w:eastAsia="lt-LT"/>
        </w:rPr>
        <w:t xml:space="preserve">išlaidų kapitalo investicijoms pagal kitas investicijų finansavimo schemas duomenis; </w:t>
      </w:r>
    </w:p>
    <w:p w14:paraId="2A1043E0" w14:textId="77777777" w:rsidR="00ED71FF" w:rsidRDefault="004D3CB8">
      <w:pPr>
        <w:tabs>
          <w:tab w:val="left" w:pos="1134"/>
        </w:tabs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5.5</w:t>
      </w:r>
      <w:r>
        <w:rPr>
          <w:szCs w:val="24"/>
          <w:lang w:eastAsia="lt-LT"/>
        </w:rPr>
        <w:t>.</w:t>
      </w:r>
      <w:r>
        <w:rPr>
          <w:szCs w:val="24"/>
          <w:lang w:eastAsia="lt-LT"/>
        </w:rPr>
        <w:tab/>
        <w:t xml:space="preserve">Europos Sąjungos ir tarptautinių reikalų departamentas: </w:t>
      </w:r>
    </w:p>
    <w:p w14:paraId="2A1043E1" w14:textId="77777777" w:rsidR="00ED71FF" w:rsidRDefault="004D3CB8">
      <w:pPr>
        <w:tabs>
          <w:tab w:val="left" w:pos="1134"/>
        </w:tabs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5.5.1</w:t>
      </w:r>
      <w:r>
        <w:rPr>
          <w:szCs w:val="24"/>
          <w:lang w:eastAsia="lt-LT"/>
        </w:rPr>
        <w:t>.</w:t>
      </w:r>
      <w:r>
        <w:rPr>
          <w:szCs w:val="24"/>
          <w:lang w:eastAsia="lt-LT"/>
        </w:rPr>
        <w:tab/>
        <w:t xml:space="preserve">duomenis apie įmokų į Europos Sąjungos biudžetą sumas ir šių sumų pasikeitimą dėl Europos </w:t>
      </w:r>
      <w:r>
        <w:rPr>
          <w:szCs w:val="24"/>
          <w:lang w:eastAsia="lt-LT"/>
        </w:rPr>
        <w:t>Sąjungos biudžeto pakeitimo;</w:t>
      </w:r>
    </w:p>
    <w:p w14:paraId="2A1043E2" w14:textId="77777777" w:rsidR="00ED71FF" w:rsidRDefault="004D3CB8">
      <w:pPr>
        <w:tabs>
          <w:tab w:val="left" w:pos="1134"/>
        </w:tabs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5.5.2</w:t>
      </w:r>
      <w:r>
        <w:rPr>
          <w:szCs w:val="24"/>
          <w:lang w:eastAsia="lt-LT"/>
        </w:rPr>
        <w:t>.</w:t>
      </w:r>
      <w:r>
        <w:rPr>
          <w:szCs w:val="24"/>
          <w:lang w:eastAsia="lt-LT"/>
        </w:rPr>
        <w:tab/>
        <w:t>duomenis apie įmokų į Europos finansinio stabilizavimo mechanizmo sąskaitą sumas;</w:t>
      </w:r>
    </w:p>
    <w:p w14:paraId="2A1043E3" w14:textId="77777777" w:rsidR="00ED71FF" w:rsidRDefault="004D3CB8">
      <w:pPr>
        <w:tabs>
          <w:tab w:val="left" w:pos="1134"/>
        </w:tabs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5.5.3</w:t>
      </w:r>
      <w:r>
        <w:rPr>
          <w:szCs w:val="24"/>
          <w:lang w:eastAsia="lt-LT"/>
        </w:rPr>
        <w:t>.</w:t>
      </w:r>
      <w:r>
        <w:rPr>
          <w:szCs w:val="24"/>
          <w:lang w:eastAsia="lt-LT"/>
        </w:rPr>
        <w:tab/>
        <w:t xml:space="preserve">informaciją apie finansinius įsipareigojimus pagal Europos Sąjungos ir (ar) euro zonos sutartis ar sprendimus; </w:t>
      </w:r>
    </w:p>
    <w:p w14:paraId="2A1043E4" w14:textId="77777777" w:rsidR="00ED71FF" w:rsidRDefault="004D3CB8">
      <w:pPr>
        <w:tabs>
          <w:tab w:val="left" w:pos="1134"/>
        </w:tabs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5.5.4</w:t>
      </w:r>
      <w:r>
        <w:rPr>
          <w:szCs w:val="24"/>
          <w:lang w:eastAsia="lt-LT"/>
        </w:rPr>
        <w:t>.</w:t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 xml:space="preserve">informaciją apie kitų įmokų ar įnašų į tarptautinius fondus, organizacijas sumas; </w:t>
      </w:r>
    </w:p>
    <w:p w14:paraId="2A1043E5" w14:textId="77777777" w:rsidR="00ED71FF" w:rsidRDefault="004D3CB8">
      <w:pPr>
        <w:tabs>
          <w:tab w:val="left" w:pos="1134"/>
        </w:tabs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5.6</w:t>
      </w:r>
      <w:r>
        <w:rPr>
          <w:szCs w:val="24"/>
          <w:lang w:eastAsia="lt-LT"/>
        </w:rPr>
        <w:t>.</w:t>
      </w:r>
      <w:r>
        <w:rPr>
          <w:szCs w:val="24"/>
          <w:lang w:eastAsia="lt-LT"/>
        </w:rPr>
        <w:tab/>
        <w:t>IID – duomenis apie IID ir IID administruojamų fondų biudžetų pajamas ir išlaidas;</w:t>
      </w:r>
    </w:p>
    <w:p w14:paraId="2A1043E6" w14:textId="77777777" w:rsidR="00ED71FF" w:rsidRDefault="004D3CB8">
      <w:pPr>
        <w:tabs>
          <w:tab w:val="left" w:pos="1134"/>
        </w:tabs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5.7</w:t>
      </w:r>
      <w:r>
        <w:rPr>
          <w:szCs w:val="24"/>
          <w:lang w:eastAsia="lt-LT"/>
        </w:rPr>
        <w:t>.</w:t>
      </w:r>
      <w:r>
        <w:rPr>
          <w:szCs w:val="24"/>
          <w:lang w:eastAsia="lt-LT"/>
        </w:rPr>
        <w:tab/>
        <w:t>Lietuvos Respublikos krašto apsaugos ministerija – planuojamų pristaty</w:t>
      </w:r>
      <w:r>
        <w:rPr>
          <w:szCs w:val="24"/>
          <w:lang w:eastAsia="lt-LT"/>
        </w:rPr>
        <w:t>ti ir įsigyti ginklų, karinės įrangos, karinių atsargų, strateginių ir neliečiamųjų atsargų verčių metines sumas (planuojamas kasines išlaidas);</w:t>
      </w:r>
    </w:p>
    <w:p w14:paraId="2A1043E7" w14:textId="77777777" w:rsidR="00ED71FF" w:rsidRDefault="004D3CB8">
      <w:pPr>
        <w:tabs>
          <w:tab w:val="left" w:pos="1134"/>
        </w:tabs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5.8</w:t>
      </w:r>
      <w:r>
        <w:rPr>
          <w:szCs w:val="24"/>
          <w:lang w:eastAsia="lt-LT"/>
        </w:rPr>
        <w:t>.</w:t>
      </w:r>
      <w:r>
        <w:rPr>
          <w:szCs w:val="24"/>
          <w:lang w:eastAsia="lt-LT"/>
        </w:rPr>
        <w:tab/>
        <w:t>Valstybinio socialinio draudimo fondo valdyba prie Socialinės apsaugos ir darbo ministerijos (toliau –</w:t>
      </w:r>
      <w:r>
        <w:rPr>
          <w:szCs w:val="24"/>
          <w:lang w:eastAsia="lt-LT"/>
        </w:rPr>
        <w:t xml:space="preserve"> SODRA) ir Valstybinė ligonių kasa prie Sveikatos apsaugos ministerijos (toliau – VLK) – Valstybinio socialinio draudimo fondo (toliau – VSDF) ir Privalomojo sveikatos draudimo fondo (toliau – PSDF) biudžetų informaciją ir duomenis kaupimo principu.</w:t>
      </w:r>
    </w:p>
    <w:p w14:paraId="2A1043E8" w14:textId="77777777" w:rsidR="00ED71FF" w:rsidRDefault="004D3CB8">
      <w:pPr>
        <w:tabs>
          <w:tab w:val="left" w:pos="540"/>
          <w:tab w:val="left" w:pos="993"/>
        </w:tabs>
        <w:spacing w:line="276" w:lineRule="auto"/>
        <w:ind w:firstLine="709"/>
        <w:jc w:val="both"/>
        <w:rPr>
          <w:color w:val="000000"/>
          <w:szCs w:val="24"/>
          <w:lang w:eastAsia="lt-LT"/>
        </w:rPr>
      </w:pPr>
      <w:r>
        <w:rPr>
          <w:szCs w:val="24"/>
          <w:lang w:eastAsia="lt-LT"/>
        </w:rPr>
        <w:t>6</w:t>
      </w:r>
      <w:r>
        <w:rPr>
          <w:szCs w:val="24"/>
          <w:lang w:eastAsia="lt-LT"/>
        </w:rPr>
        <w:t>.</w:t>
      </w:r>
      <w:r>
        <w:rPr>
          <w:szCs w:val="24"/>
          <w:lang w:eastAsia="lt-LT"/>
        </w:rPr>
        <w:tab/>
      </w:r>
      <w:r>
        <w:rPr>
          <w:color w:val="000000"/>
          <w:szCs w:val="24"/>
          <w:lang w:eastAsia="lt-LT"/>
        </w:rPr>
        <w:t>Aprašo 5 punkte nurodyta informacija ir duomenys, turintys arba galintys turėti įtakos skaičiuojamiems ir stebimiems valdžios sektoriaus fiskaliniams rodikliams, teikiami šiais terminais:</w:t>
      </w:r>
    </w:p>
    <w:p w14:paraId="2A1043E9" w14:textId="77777777" w:rsidR="00ED71FF" w:rsidRDefault="004D3CB8">
      <w:pPr>
        <w:tabs>
          <w:tab w:val="left" w:pos="1134"/>
        </w:tabs>
        <w:ind w:firstLine="709"/>
        <w:jc w:val="both"/>
        <w:rPr>
          <w:color w:val="000000"/>
          <w:szCs w:val="24"/>
          <w:lang w:eastAsia="lt-LT"/>
        </w:rPr>
      </w:pPr>
      <w:r>
        <w:rPr>
          <w:rFonts w:eastAsia="Calibri"/>
          <w:color w:val="000000"/>
          <w:szCs w:val="24"/>
        </w:rPr>
        <w:t>6.1</w:t>
      </w:r>
      <w:r>
        <w:rPr>
          <w:rFonts w:eastAsia="Calibri"/>
          <w:color w:val="000000"/>
          <w:szCs w:val="24"/>
        </w:rPr>
        <w:t>.</w:t>
      </w:r>
      <w:r>
        <w:rPr>
          <w:rFonts w:eastAsia="Calibri"/>
          <w:color w:val="000000"/>
          <w:szCs w:val="24"/>
        </w:rPr>
        <w:tab/>
      </w:r>
      <w:r>
        <w:rPr>
          <w:color w:val="000000"/>
          <w:szCs w:val="24"/>
          <w:lang w:eastAsia="lt-LT"/>
        </w:rPr>
        <w:t xml:space="preserve">ne vėliau kaip einamųjų metų liepos 10 dieną – </w:t>
      </w:r>
      <w:r>
        <w:rPr>
          <w:i/>
          <w:color w:val="000000"/>
          <w:szCs w:val="24"/>
          <w:lang w:eastAsia="lt-LT"/>
        </w:rPr>
        <w:t>t</w:t>
      </w:r>
      <w:r>
        <w:rPr>
          <w:color w:val="000000"/>
          <w:szCs w:val="24"/>
          <w:lang w:eastAsia="lt-LT"/>
        </w:rPr>
        <w:t xml:space="preserve"> metų info</w:t>
      </w:r>
      <w:r>
        <w:rPr>
          <w:color w:val="000000"/>
          <w:szCs w:val="24"/>
          <w:lang w:eastAsia="lt-LT"/>
        </w:rPr>
        <w:t>rmacija ir duomenys, jei jie pasikeičia palyginti su informacija ir duomenimis, turėtais rengiant Lietuvos Respublikos einamųjų metų valstybės biudžeto ir savivaldybių biudžetų finansinių rodiklių patvirtinimo įstatymą; IID – jei pasikeičia IID ir IID admi</w:t>
      </w:r>
      <w:r>
        <w:rPr>
          <w:color w:val="000000"/>
          <w:szCs w:val="24"/>
          <w:lang w:eastAsia="lt-LT"/>
        </w:rPr>
        <w:t>nistruojamų fondų patvirtintos pajamos ir išlaidos; SODRA ir VLK – jei jie pasikeičia palyginti su informacija ir duomenimis, turėtais rengiant einamųjų metų VSDF ir PSDF biudžetus;</w:t>
      </w:r>
    </w:p>
    <w:p w14:paraId="2A1043EA" w14:textId="77777777" w:rsidR="00ED71FF" w:rsidRDefault="004D3CB8">
      <w:pPr>
        <w:tabs>
          <w:tab w:val="left" w:pos="1134"/>
        </w:tabs>
        <w:ind w:firstLine="709"/>
        <w:jc w:val="both"/>
        <w:rPr>
          <w:color w:val="000000"/>
          <w:szCs w:val="24"/>
          <w:lang w:eastAsia="lt-LT"/>
        </w:rPr>
      </w:pPr>
      <w:r>
        <w:rPr>
          <w:rFonts w:eastAsia="Calibri"/>
          <w:color w:val="000000"/>
          <w:szCs w:val="24"/>
        </w:rPr>
        <w:t>6.2</w:t>
      </w:r>
      <w:r>
        <w:rPr>
          <w:rFonts w:eastAsia="Calibri"/>
          <w:color w:val="000000"/>
          <w:szCs w:val="24"/>
        </w:rPr>
        <w:t>.</w:t>
      </w:r>
      <w:r>
        <w:rPr>
          <w:rFonts w:eastAsia="Calibri"/>
          <w:color w:val="000000"/>
          <w:szCs w:val="24"/>
        </w:rPr>
        <w:tab/>
      </w:r>
      <w:r>
        <w:rPr>
          <w:color w:val="000000"/>
          <w:szCs w:val="24"/>
          <w:lang w:eastAsia="lt-LT"/>
        </w:rPr>
        <w:t xml:space="preserve">ne vėliau kaip einamųjų metų kovo 30 dieną ir rugsėjo 21 dieną – </w:t>
      </w:r>
      <w:r>
        <w:rPr>
          <w:i/>
          <w:szCs w:val="24"/>
          <w:lang w:eastAsia="lt-LT"/>
        </w:rPr>
        <w:t>t</w:t>
      </w:r>
      <w:r>
        <w:rPr>
          <w:szCs w:val="24"/>
          <w:lang w:eastAsia="lt-LT"/>
        </w:rPr>
        <w:t xml:space="preserve">, </w:t>
      </w:r>
      <w:r>
        <w:rPr>
          <w:i/>
          <w:szCs w:val="24"/>
          <w:lang w:eastAsia="lt-LT"/>
        </w:rPr>
        <w:t>t</w:t>
      </w:r>
      <w:r>
        <w:rPr>
          <w:szCs w:val="24"/>
          <w:lang w:eastAsia="lt-LT"/>
        </w:rPr>
        <w:t xml:space="preserve"> + 1, </w:t>
      </w:r>
      <w:r>
        <w:rPr>
          <w:i/>
          <w:szCs w:val="24"/>
          <w:lang w:eastAsia="lt-LT"/>
        </w:rPr>
        <w:t>t</w:t>
      </w:r>
      <w:r>
        <w:rPr>
          <w:szCs w:val="24"/>
          <w:lang w:eastAsia="lt-LT"/>
        </w:rPr>
        <w:t xml:space="preserve"> + 2, </w:t>
      </w:r>
      <w:r>
        <w:rPr>
          <w:i/>
          <w:szCs w:val="24"/>
          <w:lang w:eastAsia="lt-LT"/>
        </w:rPr>
        <w:t>t</w:t>
      </w:r>
      <w:r>
        <w:rPr>
          <w:szCs w:val="24"/>
          <w:lang w:eastAsia="lt-LT"/>
        </w:rPr>
        <w:t xml:space="preserve"> + 3 metų informacija ir duomenys;</w:t>
      </w:r>
    </w:p>
    <w:p w14:paraId="2A1043EB" w14:textId="77777777" w:rsidR="00ED71FF" w:rsidRDefault="004D3CB8">
      <w:pPr>
        <w:tabs>
          <w:tab w:val="left" w:pos="1134"/>
        </w:tabs>
        <w:ind w:firstLine="709"/>
        <w:jc w:val="both"/>
        <w:rPr>
          <w:color w:val="000000"/>
          <w:szCs w:val="24"/>
          <w:lang w:eastAsia="lt-LT"/>
        </w:rPr>
      </w:pPr>
      <w:r>
        <w:rPr>
          <w:rFonts w:eastAsia="Calibri"/>
          <w:color w:val="000000"/>
          <w:szCs w:val="24"/>
        </w:rPr>
        <w:t>6.3</w:t>
      </w:r>
      <w:r>
        <w:rPr>
          <w:rFonts w:eastAsia="Calibri"/>
          <w:color w:val="000000"/>
          <w:szCs w:val="24"/>
        </w:rPr>
        <w:t>.</w:t>
      </w:r>
      <w:r>
        <w:rPr>
          <w:rFonts w:eastAsia="Calibri"/>
          <w:color w:val="000000"/>
          <w:szCs w:val="24"/>
        </w:rPr>
        <w:tab/>
      </w:r>
      <w:r>
        <w:rPr>
          <w:color w:val="000000"/>
          <w:szCs w:val="24"/>
          <w:lang w:eastAsia="lt-LT"/>
        </w:rPr>
        <w:t>bet</w:t>
      </w:r>
      <w:r>
        <w:rPr>
          <w:szCs w:val="24"/>
          <w:lang w:eastAsia="lt-LT"/>
        </w:rPr>
        <w:t xml:space="preserve"> kuriuo kitu metu einamaisiais metais, jei laikotarpiais tarp Aprašo 6.1 ir 6.2 papunkčiuose nurodytų terminų turima informacijos ir duomenų, galinčių reikšmingai paveikti Aprašo 2 punkte nur</w:t>
      </w:r>
      <w:r>
        <w:rPr>
          <w:szCs w:val="24"/>
          <w:lang w:eastAsia="lt-LT"/>
        </w:rPr>
        <w:t>odytus valdžios sektoriaus fiskalinius rodiklius; SODRA ir VLK – jei turima informacijos ir duomenų apie pasikeitusių ar keičiamų teisės aktų poveikį VSDF ir PSDF biudžetų rodikliams</w:t>
      </w:r>
      <w:r>
        <w:rPr>
          <w:color w:val="000000"/>
          <w:szCs w:val="24"/>
          <w:lang w:eastAsia="lt-LT"/>
        </w:rPr>
        <w:t>.</w:t>
      </w:r>
    </w:p>
    <w:p w14:paraId="2A1043EC" w14:textId="77777777" w:rsidR="00ED71FF" w:rsidRDefault="004D3CB8">
      <w:pPr>
        <w:tabs>
          <w:tab w:val="left" w:pos="540"/>
          <w:tab w:val="left" w:pos="993"/>
        </w:tabs>
        <w:spacing w:line="276" w:lineRule="auto"/>
        <w:ind w:firstLine="709"/>
        <w:jc w:val="both"/>
        <w:rPr>
          <w:color w:val="000000"/>
          <w:szCs w:val="24"/>
          <w:lang w:eastAsia="lt-LT"/>
        </w:rPr>
      </w:pPr>
      <w:r>
        <w:rPr>
          <w:szCs w:val="24"/>
          <w:lang w:eastAsia="lt-LT"/>
        </w:rPr>
        <w:t>7</w:t>
      </w:r>
      <w:r>
        <w:rPr>
          <w:szCs w:val="24"/>
          <w:lang w:eastAsia="lt-LT"/>
        </w:rPr>
        <w:t>.</w:t>
      </w:r>
      <w:r>
        <w:rPr>
          <w:szCs w:val="24"/>
          <w:lang w:eastAsia="lt-LT"/>
        </w:rPr>
        <w:tab/>
      </w:r>
      <w:r>
        <w:rPr>
          <w:color w:val="000000"/>
          <w:szCs w:val="24"/>
          <w:lang w:eastAsia="lt-LT"/>
        </w:rPr>
        <w:t>Visi informaciją teikiantys subjektai teikia Fiskalinės priežiū</w:t>
      </w:r>
      <w:r>
        <w:rPr>
          <w:color w:val="000000"/>
          <w:szCs w:val="24"/>
          <w:lang w:eastAsia="lt-LT"/>
        </w:rPr>
        <w:t xml:space="preserve">ros skyriui </w:t>
      </w:r>
      <w:r>
        <w:rPr>
          <w:szCs w:val="24"/>
          <w:lang w:eastAsia="lt-LT"/>
        </w:rPr>
        <w:t>kitą (nenurodytą 5 ir 6 punktuose) informaciją ir duomenis, galinčius turėti įtakos Aprašo 2 punkte nurodytų valdžios sektoriaus fiskalinių rodiklių dydžiams, arba tą informaciją ir duomenis, dėl kurių įtakos abejojama, nurodydami gautos inform</w:t>
      </w:r>
      <w:r>
        <w:rPr>
          <w:szCs w:val="24"/>
          <w:lang w:eastAsia="lt-LT"/>
        </w:rPr>
        <w:t>acijos ir duomenų šaltinį.</w:t>
      </w:r>
    </w:p>
    <w:p w14:paraId="2A1043ED" w14:textId="77777777" w:rsidR="00ED71FF" w:rsidRDefault="004D3CB8">
      <w:pPr>
        <w:tabs>
          <w:tab w:val="left" w:pos="540"/>
          <w:tab w:val="left" w:pos="993"/>
        </w:tabs>
        <w:spacing w:line="276" w:lineRule="auto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8</w:t>
      </w:r>
      <w:r>
        <w:rPr>
          <w:szCs w:val="24"/>
          <w:lang w:eastAsia="lt-LT"/>
        </w:rPr>
        <w:t>.</w:t>
      </w:r>
      <w:r>
        <w:rPr>
          <w:szCs w:val="24"/>
          <w:lang w:eastAsia="lt-LT"/>
        </w:rPr>
        <w:tab/>
        <w:t xml:space="preserve">Visa informacija ir duomenys, turintys arba galintys turėti įtakos skaičiuojamiems ir stebimiems valdžios sektoriaus fiskaliniams rodikliams, taip pat informacija ir duomenys, galintys reikšmingai paveikti Aprašo 2 punkte </w:t>
      </w:r>
      <w:r>
        <w:rPr>
          <w:szCs w:val="24"/>
          <w:lang w:eastAsia="lt-LT"/>
        </w:rPr>
        <w:t xml:space="preserve">nurodytus valdžios sektoriaus fiskalinius rodiklius, teikiami elektroniniu dokumentų pateikimo būdu ir elektroninio pašto adresu </w:t>
      </w:r>
      <w:proofErr w:type="spellStart"/>
      <w:r>
        <w:rPr>
          <w:szCs w:val="24"/>
          <w:lang w:eastAsia="lt-LT"/>
        </w:rPr>
        <w:t>deficito.stebetojas@finmin.lt</w:t>
      </w:r>
      <w:proofErr w:type="spellEnd"/>
      <w:r>
        <w:rPr>
          <w:szCs w:val="24"/>
          <w:lang w:eastAsia="lt-LT"/>
        </w:rPr>
        <w:t>.</w:t>
      </w:r>
    </w:p>
    <w:p w14:paraId="2A1043EE" w14:textId="77777777" w:rsidR="00ED71FF" w:rsidRDefault="004D3CB8">
      <w:pPr>
        <w:tabs>
          <w:tab w:val="left" w:pos="993"/>
        </w:tabs>
        <w:spacing w:line="276" w:lineRule="auto"/>
        <w:jc w:val="both"/>
        <w:rPr>
          <w:color w:val="000000"/>
          <w:szCs w:val="24"/>
          <w:lang w:eastAsia="lt-LT"/>
        </w:rPr>
      </w:pPr>
    </w:p>
    <w:p w14:paraId="2A1043F1" w14:textId="5E8A2613" w:rsidR="00ED71FF" w:rsidRDefault="004D3CB8" w:rsidP="004D3CB8">
      <w:pPr>
        <w:jc w:val="center"/>
        <w:rPr>
          <w:sz w:val="20"/>
          <w:lang w:eastAsia="lt-LT"/>
        </w:rPr>
      </w:pPr>
      <w:r>
        <w:rPr>
          <w:color w:val="000000"/>
          <w:szCs w:val="24"/>
          <w:lang w:eastAsia="lt-LT"/>
        </w:rPr>
        <w:t>_______________</w:t>
      </w:r>
    </w:p>
    <w:bookmarkStart w:id="0" w:name="_GoBack" w:displacedByCustomXml="next"/>
    <w:bookmarkEnd w:id="0" w:displacedByCustomXml="next"/>
    <w:sectPr w:rsidR="00ED71FF" w:rsidSect="004D3CB8">
      <w:pgSz w:w="11906" w:h="16838" w:code="9"/>
      <w:pgMar w:top="993" w:right="567" w:bottom="993" w:left="1701" w:header="560" w:footer="686" w:gutter="0"/>
      <w:pgNumType w:start="1"/>
      <w:cols w:space="1296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1043F6" w14:textId="77777777" w:rsidR="00ED71FF" w:rsidRDefault="004D3CB8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14:paraId="2A1043F7" w14:textId="77777777" w:rsidR="00ED71FF" w:rsidRDefault="004D3CB8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1043FC" w14:textId="77777777" w:rsidR="00ED71FF" w:rsidRDefault="00ED71FF"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1043FD" w14:textId="77777777" w:rsidR="00ED71FF" w:rsidRDefault="00ED71FF">
    <w:pPr>
      <w:ind w:right="227"/>
      <w:jc w:val="right"/>
      <w:rPr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104400" w14:textId="77777777" w:rsidR="00ED71FF" w:rsidRDefault="00ED71FF">
    <w:pPr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1043F4" w14:textId="77777777" w:rsidR="00ED71FF" w:rsidRDefault="004D3CB8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14:paraId="2A1043F5" w14:textId="77777777" w:rsidR="00ED71FF" w:rsidRDefault="004D3CB8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1043F8" w14:textId="77777777" w:rsidR="00ED71FF" w:rsidRDefault="004D3CB8">
    <w:pPr>
      <w:framePr w:wrap="auto" w:vAnchor="text" w:hAnchor="margin" w:xAlign="center" w:y="1"/>
      <w:tabs>
        <w:tab w:val="center" w:pos="4153"/>
        <w:tab w:val="right" w:pos="8306"/>
      </w:tabs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14:paraId="2A1043F9" w14:textId="77777777" w:rsidR="00ED71FF" w:rsidRDefault="00ED71FF">
    <w:pPr>
      <w:tabs>
        <w:tab w:val="center" w:pos="4153"/>
        <w:tab w:val="right" w:pos="8306"/>
      </w:tabs>
      <w:rPr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1043FA" w14:textId="77777777" w:rsidR="00ED71FF" w:rsidRDefault="004D3CB8">
    <w:pPr>
      <w:framePr w:wrap="auto" w:vAnchor="text" w:hAnchor="margin" w:xAlign="center" w:y="1"/>
      <w:tabs>
        <w:tab w:val="center" w:pos="4153"/>
        <w:tab w:val="right" w:pos="8306"/>
      </w:tabs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>
      <w:rPr>
        <w:noProof/>
        <w:lang w:eastAsia="lt-LT"/>
      </w:rPr>
      <w:t>4</w:t>
    </w:r>
    <w:r>
      <w:rPr>
        <w:lang w:eastAsia="lt-LT"/>
      </w:rPr>
      <w:fldChar w:fldCharType="end"/>
    </w:r>
  </w:p>
  <w:p w14:paraId="2A1043FB" w14:textId="77777777" w:rsidR="00ED71FF" w:rsidRDefault="00ED71FF">
    <w:pPr>
      <w:tabs>
        <w:tab w:val="center" w:pos="4153"/>
        <w:tab w:val="right" w:pos="8306"/>
      </w:tabs>
      <w:rPr>
        <w:lang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1043FE" w14:textId="77777777" w:rsidR="00ED71FF" w:rsidRDefault="00ED71FF">
    <w:pPr>
      <w:tabs>
        <w:tab w:val="center" w:pos="4153"/>
        <w:tab w:val="right" w:pos="8306"/>
      </w:tabs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758"/>
    <w:rsid w:val="00035758"/>
    <w:rsid w:val="004D3CB8"/>
    <w:rsid w:val="00ED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1043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1756</Words>
  <Characters>12025</Characters>
  <Application>Microsoft Office Word</Application>
  <DocSecurity>0</DocSecurity>
  <Lines>100</Lines>
  <Paragraphs>27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FM</Company>
  <LinksUpToDate>false</LinksUpToDate>
  <CharactersWithSpaces>13754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2018-10-29T06:39:00Z</dcterms:created>
  <dc:creator>Irmantas Mikulėnas</dc:creator>
  <lastModifiedBy>JUOSPONIENĖ Karolina</lastModifiedBy>
  <lastPrinted>2008-12-29T11:20:00Z</lastPrinted>
  <dcterms:modified xsi:type="dcterms:W3CDTF">2018-10-29T07:51:00Z</dcterms:modified>
  <revision>3</revision>
</coreProperties>
</file>