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E9F0" w14:textId="7598EA74" w:rsidR="00D15F90" w:rsidRDefault="00C372D6" w:rsidP="00C372D6">
      <w:pPr>
        <w:tabs>
          <w:tab w:val="center" w:pos="4819"/>
          <w:tab w:val="right" w:pos="9638"/>
        </w:tabs>
        <w:jc w:val="center"/>
        <w:rPr>
          <w:b/>
          <w:szCs w:val="22"/>
          <w:highlight w:val="yellow"/>
        </w:rPr>
      </w:pPr>
      <w:r>
        <w:rPr>
          <w:noProof/>
          <w:lang w:eastAsia="lt-LT"/>
        </w:rPr>
        <w:drawing>
          <wp:inline distT="0" distB="0" distL="0" distR="0" wp14:anchorId="2E309B25" wp14:editId="0E949807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5E02C" w14:textId="77777777" w:rsidR="00D15F90" w:rsidRDefault="00C372D6">
      <w:pPr>
        <w:jc w:val="center"/>
        <w:rPr>
          <w:b/>
          <w:szCs w:val="22"/>
        </w:rPr>
      </w:pPr>
      <w:r>
        <w:rPr>
          <w:b/>
          <w:szCs w:val="22"/>
        </w:rPr>
        <w:t>VALSTYBINĖ KAINŲ IR ENERGETIKOS KONTROLĖS KOMISIJA</w:t>
      </w:r>
    </w:p>
    <w:p w14:paraId="4317F4BB" w14:textId="77777777" w:rsidR="00D15F90" w:rsidRDefault="00D15F90">
      <w:pPr>
        <w:jc w:val="center"/>
        <w:rPr>
          <w:b/>
          <w:spacing w:val="60"/>
          <w:szCs w:val="22"/>
        </w:rPr>
      </w:pPr>
    </w:p>
    <w:p w14:paraId="7A5B18DE" w14:textId="36C00EE0" w:rsidR="00D15F90" w:rsidRDefault="00C372D6">
      <w:pPr>
        <w:jc w:val="center"/>
        <w:rPr>
          <w:b/>
          <w:szCs w:val="22"/>
        </w:rPr>
      </w:pPr>
      <w:r>
        <w:rPr>
          <w:b/>
          <w:szCs w:val="22"/>
        </w:rPr>
        <w:t>NUTARIMAS</w:t>
      </w:r>
    </w:p>
    <w:p w14:paraId="13D5F7D5" w14:textId="20E2469B" w:rsidR="00D15F90" w:rsidRDefault="00C372D6">
      <w:pPr>
        <w:jc w:val="center"/>
        <w:rPr>
          <w:b/>
          <w:szCs w:val="24"/>
        </w:rPr>
      </w:pPr>
      <w:r>
        <w:rPr>
          <w:b/>
          <w:szCs w:val="24"/>
        </w:rPr>
        <w:t xml:space="preserve">DĖL VALSTYBINĖS KAINŲ IR ENERGETIKOS KONTROLĖS KOMISIJOS 2015 M. SAUSIO 15 D. NUTARIMO NR. O3-3 „DĖL </w:t>
      </w:r>
      <w:r>
        <w:rPr>
          <w:b/>
          <w:bCs/>
          <w:szCs w:val="24"/>
        </w:rPr>
        <w:t>ELEKTROS ENERGIJOS PERDAVIMO, SKIRSTYMO IR VISUOMENINIO TIEKIMO PASLAUGŲ BEI VISUOMENINĖS</w:t>
      </w:r>
      <w:r>
        <w:rPr>
          <w:b/>
          <w:bCs/>
          <w:szCs w:val="24"/>
        </w:rPr>
        <w:t xml:space="preserve"> KAINOS VIRŠUTINĖS RIBOS NUSTATYMO METODIKOS PATVIRTINIMO“ PAKEITIMO</w:t>
      </w:r>
    </w:p>
    <w:p w14:paraId="12917189" w14:textId="77777777" w:rsidR="00D15F90" w:rsidRDefault="00D15F90">
      <w:pPr>
        <w:jc w:val="center"/>
        <w:rPr>
          <w:b/>
          <w:szCs w:val="24"/>
        </w:rPr>
      </w:pPr>
    </w:p>
    <w:p w14:paraId="70BD4F5C" w14:textId="090B2645" w:rsidR="00D15F90" w:rsidRDefault="00C372D6">
      <w:pPr>
        <w:jc w:val="center"/>
        <w:rPr>
          <w:szCs w:val="22"/>
        </w:rPr>
      </w:pPr>
      <w:r>
        <w:rPr>
          <w:szCs w:val="22"/>
        </w:rPr>
        <w:t xml:space="preserve">2015 m. spalio 29 </w:t>
      </w:r>
      <w:r>
        <w:rPr>
          <w:szCs w:val="22"/>
        </w:rPr>
        <w:t>d. Nr. O3-572</w:t>
      </w:r>
    </w:p>
    <w:p w14:paraId="299A7E46" w14:textId="77777777" w:rsidR="00D15F90" w:rsidRDefault="00C372D6">
      <w:pPr>
        <w:jc w:val="center"/>
        <w:rPr>
          <w:szCs w:val="22"/>
        </w:rPr>
      </w:pPr>
      <w:r>
        <w:rPr>
          <w:szCs w:val="22"/>
        </w:rPr>
        <w:t>Vilnius</w:t>
      </w:r>
    </w:p>
    <w:p w14:paraId="26EB1507" w14:textId="77777777" w:rsidR="00D15F90" w:rsidRDefault="00D15F90">
      <w:pPr>
        <w:jc w:val="center"/>
        <w:rPr>
          <w:szCs w:val="22"/>
          <w:highlight w:val="yellow"/>
        </w:rPr>
      </w:pPr>
    </w:p>
    <w:p w14:paraId="23927FF7" w14:textId="77777777" w:rsidR="00D15F90" w:rsidRDefault="00D15F90">
      <w:pPr>
        <w:jc w:val="center"/>
        <w:rPr>
          <w:szCs w:val="22"/>
          <w:highlight w:val="yellow"/>
        </w:rPr>
      </w:pPr>
    </w:p>
    <w:p w14:paraId="4643F914" w14:textId="066760E6" w:rsidR="00D15F90" w:rsidRDefault="00C372D6">
      <w:pPr>
        <w:ind w:firstLine="709"/>
        <w:jc w:val="both"/>
        <w:rPr>
          <w:spacing w:val="40"/>
          <w:szCs w:val="22"/>
        </w:rPr>
      </w:pPr>
      <w:r>
        <w:rPr>
          <w:szCs w:val="24"/>
        </w:rPr>
        <w:t>V</w:t>
      </w:r>
      <w:r>
        <w:rPr>
          <w:szCs w:val="22"/>
        </w:rPr>
        <w:t xml:space="preserve">adovaudamasi </w:t>
      </w:r>
      <w:r>
        <w:rPr>
          <w:szCs w:val="24"/>
        </w:rPr>
        <w:t>Lietuvos Respublikos energetikos įstatymo 8 straipsnio 9 dalies 2 punktu, Lietuvos Respublikos elektros energetikos įstaty</w:t>
      </w:r>
      <w:r>
        <w:rPr>
          <w:szCs w:val="24"/>
        </w:rPr>
        <w:t xml:space="preserve">mo 9 straipsnio 3 dalies 14 punktu, </w:t>
      </w:r>
      <w:r>
        <w:rPr>
          <w:szCs w:val="22"/>
        </w:rPr>
        <w:t xml:space="preserve">67 straipsnio 10 dalimi ir atsižvelgdama į Valstybinės kainų ir energetikos kontrolės komisijos </w:t>
      </w:r>
      <w:r>
        <w:rPr>
          <w:szCs w:val="24"/>
        </w:rPr>
        <w:t xml:space="preserve">(toliau – Komisija) </w:t>
      </w:r>
      <w:r>
        <w:rPr>
          <w:szCs w:val="22"/>
        </w:rPr>
        <w:t>Dujų ir elektros departamento Elektros skyriaus 2015 m. spalio 22 d. pažymą Nr. O5-373 „</w:t>
      </w:r>
      <w:r>
        <w:rPr>
          <w:szCs w:val="24"/>
        </w:rPr>
        <w:t>Dėl Valstybinės</w:t>
      </w:r>
      <w:r>
        <w:rPr>
          <w:szCs w:val="24"/>
        </w:rPr>
        <w:t xml:space="preserve"> kainų ir energetikos kontrolės komisijos 2015 m. sausio 15 d. nutarimo Nr. O3-3 „Dėl Elektros energetikos perdavimo, skirstymo ir visuomeninio tiekimo paslaugų bei visuomeninės kainos viršutinės ribos nustatymo metodikos patvirtinimo“ pakeitimo</w:t>
      </w:r>
      <w:r>
        <w:rPr>
          <w:szCs w:val="22"/>
        </w:rPr>
        <w:t>“, Komisija</w:t>
      </w:r>
      <w:r>
        <w:rPr>
          <w:szCs w:val="22"/>
        </w:rPr>
        <w:t xml:space="preserve"> </w:t>
      </w:r>
      <w:r>
        <w:rPr>
          <w:spacing w:val="60"/>
          <w:szCs w:val="22"/>
        </w:rPr>
        <w:t>nutari</w:t>
      </w:r>
      <w:r>
        <w:rPr>
          <w:spacing w:val="40"/>
          <w:szCs w:val="22"/>
        </w:rPr>
        <w:t>a:</w:t>
      </w:r>
    </w:p>
    <w:p w14:paraId="38B73FA5" w14:textId="46FD1BAA" w:rsidR="00D15F90" w:rsidRDefault="00C372D6">
      <w:pPr>
        <w:ind w:firstLine="709"/>
        <w:jc w:val="both"/>
        <w:rPr>
          <w:szCs w:val="24"/>
        </w:rPr>
      </w:pPr>
      <w:r>
        <w:rPr>
          <w:szCs w:val="24"/>
          <w:lang w:eastAsia="lt-LT"/>
        </w:rPr>
        <w:t xml:space="preserve">Pakeisti </w:t>
      </w:r>
      <w:r>
        <w:rPr>
          <w:szCs w:val="24"/>
        </w:rPr>
        <w:t xml:space="preserve">Elektros energetikos perdavimo, skirstymo ir visuomeninio tiekimo paslaugų bei visuomeninės kainos viršutinės ribos nustatymo metodiką, patvirtintą </w:t>
      </w:r>
      <w:r>
        <w:rPr>
          <w:szCs w:val="24"/>
          <w:lang w:eastAsia="lt-LT"/>
        </w:rPr>
        <w:t xml:space="preserve">Komisijos </w:t>
      </w:r>
      <w:r>
        <w:rPr>
          <w:szCs w:val="24"/>
          <w:lang w:eastAsia="lt-LT"/>
        </w:rPr>
        <w:t>2015 m. sausio 15 d. nutarimu Nr. O3-3 „</w:t>
      </w:r>
      <w:r>
        <w:rPr>
          <w:szCs w:val="24"/>
        </w:rPr>
        <w:t xml:space="preserve">Dėl Elektros energetikos perdavimo, </w:t>
      </w:r>
      <w:r>
        <w:rPr>
          <w:szCs w:val="24"/>
        </w:rPr>
        <w:t>skirstymo ir visuomeninio tiekimo paslaugų bei visuomeninės kainos viršutinės ribos nustatymo metodikos patvirtinimo“:</w:t>
      </w:r>
    </w:p>
    <w:p w14:paraId="69116C70" w14:textId="6B728AE8" w:rsidR="00D15F90" w:rsidRDefault="00C372D6">
      <w:pPr>
        <w:tabs>
          <w:tab w:val="right" w:pos="9639"/>
        </w:tabs>
        <w:ind w:left="1069" w:hanging="360"/>
        <w:jc w:val="both"/>
        <w:rPr>
          <w:szCs w:val="22"/>
        </w:rPr>
      </w:pPr>
      <w:r>
        <w:rPr>
          <w:szCs w:val="22"/>
        </w:rPr>
        <w:t>1</w:t>
      </w:r>
      <w:r>
        <w:rPr>
          <w:szCs w:val="22"/>
        </w:rPr>
        <w:t>.</w:t>
      </w:r>
      <w:r>
        <w:rPr>
          <w:szCs w:val="22"/>
        </w:rPr>
        <w:tab/>
        <w:t>Papildyti nauju 41</w:t>
      </w:r>
      <w:r>
        <w:rPr>
          <w:szCs w:val="22"/>
          <w:vertAlign w:val="superscript"/>
        </w:rPr>
        <w:t>1</w:t>
      </w:r>
      <w:r>
        <w:rPr>
          <w:szCs w:val="22"/>
        </w:rPr>
        <w:t xml:space="preserve"> punktu:</w:t>
      </w:r>
    </w:p>
    <w:p w14:paraId="5C79FA2C" w14:textId="18CDD398" w:rsidR="00D15F90" w:rsidRDefault="00C372D6">
      <w:pPr>
        <w:tabs>
          <w:tab w:val="right" w:pos="9639"/>
        </w:tabs>
        <w:ind w:firstLine="709"/>
        <w:jc w:val="both"/>
        <w:rPr>
          <w:szCs w:val="22"/>
        </w:rPr>
      </w:pPr>
      <w:r>
        <w:rPr>
          <w:szCs w:val="22"/>
        </w:rPr>
        <w:t>„</w:t>
      </w:r>
      <w:r>
        <w:rPr>
          <w:szCs w:val="22"/>
        </w:rPr>
        <w:t>41</w:t>
      </w:r>
      <w:r>
        <w:rPr>
          <w:szCs w:val="22"/>
          <w:vertAlign w:val="superscript"/>
        </w:rPr>
        <w:t>1</w:t>
      </w:r>
      <w:r>
        <w:rPr>
          <w:szCs w:val="22"/>
        </w:rPr>
        <w:t>. Pajamos, gautos už naudojimosi jungiamosiomis linijomis paslaugas t metais apskaičiuojamos pag</w:t>
      </w:r>
      <w:r>
        <w:rPr>
          <w:szCs w:val="22"/>
        </w:rPr>
        <w:t>al formulę:</w:t>
      </w:r>
    </w:p>
    <w:p w14:paraId="4E7F62FE" w14:textId="77777777" w:rsidR="00D15F90" w:rsidRDefault="00D15F90">
      <w:pPr>
        <w:tabs>
          <w:tab w:val="right" w:pos="9639"/>
        </w:tabs>
        <w:ind w:firstLine="709"/>
        <w:jc w:val="both"/>
        <w:rPr>
          <w:szCs w:val="22"/>
        </w:rPr>
      </w:pPr>
    </w:p>
    <w:p w14:paraId="08059187" w14:textId="77777777" w:rsidR="00D15F90" w:rsidRDefault="00C372D6">
      <w:pPr>
        <w:tabs>
          <w:tab w:val="left" w:pos="6237"/>
          <w:tab w:val="left" w:pos="8505"/>
        </w:tabs>
        <w:ind w:firstLine="6237"/>
        <w:jc w:val="right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NJL</m:t>
            </m:r>
          </m:e>
          <m:sub>
            <m:r>
              <w:rPr>
                <w:rFonts w:ascii="Cambria Math" w:hAnsi="Cambria Math"/>
              </w:rPr>
              <m:t>110,</m:t>
            </m:r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NJL</m:t>
            </m:r>
            <m:r>
              <w:rPr>
                <w:rFonts w:ascii="Cambria Math" w:hAnsi="Cambria Math"/>
              </w:rPr>
              <m:t>110,</m:t>
            </m:r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EE</m:t>
            </m:r>
          </m:e>
          <m:sub>
            <m:r>
              <w:rPr>
                <w:rFonts w:ascii="Cambria Math" w:hAnsi="Cambria Math"/>
                <w:vertAlign w:val="subscript"/>
              </w:rPr>
              <m:t>NJL</m:t>
            </m:r>
            <m:r>
              <w:rPr>
                <w:rFonts w:ascii="Cambria Math" w:hAnsi="Cambria Math"/>
                <w:vertAlign w:val="subscript"/>
              </w:rPr>
              <m:t>110,</m:t>
            </m:r>
            <m:r>
              <w:rPr>
                <w:rFonts w:ascii="Cambria Math" w:hAnsi="Cambria Math"/>
                <w:vertAlign w:val="subscript"/>
              </w:rPr>
              <m:t>t</m:t>
            </m:r>
            <m:r>
              <w:rPr>
                <w:rFonts w:ascii="Cambria Math" w:hAnsi="Cambria Math"/>
              </w:rPr>
              <m:t xml:space="preserve"> </m:t>
            </m:r>
          </m:sub>
        </m:sSub>
      </m:oMath>
      <w:r>
        <w:rPr>
          <w:szCs w:val="22"/>
        </w:rPr>
        <w:t>(17</w:t>
      </w:r>
      <w:r>
        <w:rPr>
          <w:szCs w:val="22"/>
          <w:vertAlign w:val="superscript"/>
        </w:rPr>
        <w:t>1</w:t>
      </w:r>
      <w:r>
        <w:rPr>
          <w:szCs w:val="22"/>
        </w:rPr>
        <w:t>)</w:t>
      </w:r>
    </w:p>
    <w:p w14:paraId="58ACA70E" w14:textId="77777777" w:rsidR="00D15F90" w:rsidRDefault="00D15F90">
      <w:pPr>
        <w:tabs>
          <w:tab w:val="right" w:pos="9639"/>
        </w:tabs>
        <w:ind w:firstLine="709"/>
        <w:jc w:val="both"/>
        <w:rPr>
          <w:szCs w:val="22"/>
        </w:rPr>
      </w:pPr>
    </w:p>
    <w:p w14:paraId="7291BB12" w14:textId="77777777" w:rsidR="00D15F90" w:rsidRDefault="00C372D6">
      <w:pPr>
        <w:tabs>
          <w:tab w:val="right" w:pos="9639"/>
        </w:tabs>
        <w:ind w:firstLine="709"/>
        <w:jc w:val="both"/>
        <w:rPr>
          <w:szCs w:val="22"/>
        </w:rPr>
      </w:pPr>
      <w:r>
        <w:rPr>
          <w:szCs w:val="22"/>
        </w:rPr>
        <w:t>čia:</w:t>
      </w:r>
    </w:p>
    <w:p w14:paraId="5BC28C76" w14:textId="5383F820" w:rsidR="00D15F90" w:rsidRDefault="00C372D6">
      <w:pPr>
        <w:tabs>
          <w:tab w:val="right" w:pos="9639"/>
        </w:tabs>
        <w:ind w:firstLine="709"/>
        <w:jc w:val="both"/>
        <w:rPr>
          <w:szCs w:val="22"/>
        </w:rPr>
      </w:pPr>
      <w:r>
        <w:rPr>
          <w:szCs w:val="22"/>
        </w:rPr>
        <w:t>P</w:t>
      </w:r>
      <w:r>
        <w:rPr>
          <w:i/>
          <w:szCs w:val="22"/>
          <w:vertAlign w:val="subscript"/>
        </w:rPr>
        <w:t>NJL110</w:t>
      </w:r>
      <w:r>
        <w:rPr>
          <w:szCs w:val="22"/>
          <w:vertAlign w:val="subscript"/>
        </w:rPr>
        <w:t>,</w:t>
      </w:r>
      <w:r>
        <w:rPr>
          <w:i/>
          <w:szCs w:val="22"/>
          <w:vertAlign w:val="subscript"/>
        </w:rPr>
        <w:t>t</w:t>
      </w:r>
      <w:r>
        <w:rPr>
          <w:szCs w:val="22"/>
        </w:rPr>
        <w:t xml:space="preserve"> – naudojimosi jungiamosiomis linijomis paslaugų kaina t metais, Eur/MWh;</w:t>
      </w:r>
    </w:p>
    <w:p w14:paraId="51936C7F" w14:textId="77777777" w:rsidR="00D15F90" w:rsidRDefault="00C372D6">
      <w:pPr>
        <w:tabs>
          <w:tab w:val="right" w:pos="9639"/>
        </w:tabs>
        <w:ind w:firstLine="709"/>
        <w:jc w:val="both"/>
        <w:rPr>
          <w:szCs w:val="22"/>
        </w:rPr>
      </w:pPr>
      <w:r>
        <w:rPr>
          <w:szCs w:val="22"/>
        </w:rPr>
        <w:t>EE</w:t>
      </w:r>
      <w:r>
        <w:rPr>
          <w:i/>
          <w:szCs w:val="22"/>
          <w:vertAlign w:val="subscript"/>
        </w:rPr>
        <w:t>NJL110,t</w:t>
      </w:r>
      <w:r>
        <w:rPr>
          <w:szCs w:val="22"/>
          <w:vertAlign w:val="subscript"/>
        </w:rPr>
        <w:t xml:space="preserve"> </w:t>
      </w:r>
      <w:r>
        <w:rPr>
          <w:szCs w:val="22"/>
        </w:rPr>
        <w:t>– naudojimosi jungiamųjų linijų paslaugomis (elektros energijos eksporto į trečiąsias šalis)</w:t>
      </w:r>
      <w:r>
        <w:rPr>
          <w:szCs w:val="22"/>
        </w:rPr>
        <w:t xml:space="preserve"> apimtis t metais, MWh.“</w:t>
      </w:r>
    </w:p>
    <w:p w14:paraId="1FB637FA" w14:textId="0370E19A" w:rsidR="00D15F90" w:rsidRDefault="00C372D6">
      <w:pPr>
        <w:tabs>
          <w:tab w:val="right" w:pos="9639"/>
        </w:tabs>
        <w:ind w:left="1069" w:hanging="360"/>
        <w:jc w:val="both"/>
        <w:rPr>
          <w:szCs w:val="22"/>
        </w:rPr>
      </w:pPr>
      <w:r>
        <w:rPr>
          <w:szCs w:val="22"/>
        </w:rPr>
        <w:t>2</w:t>
      </w:r>
      <w:r>
        <w:rPr>
          <w:szCs w:val="22"/>
        </w:rPr>
        <w:t>.</w:t>
      </w:r>
      <w:r>
        <w:rPr>
          <w:szCs w:val="22"/>
        </w:rPr>
        <w:tab/>
        <w:t>Papildyti nauju 41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punktu:</w:t>
      </w:r>
    </w:p>
    <w:p w14:paraId="2C8E449E" w14:textId="1580073D" w:rsidR="00D15F90" w:rsidRDefault="00C372D6">
      <w:pPr>
        <w:tabs>
          <w:tab w:val="right" w:pos="9639"/>
        </w:tabs>
        <w:ind w:firstLine="709"/>
        <w:jc w:val="both"/>
        <w:rPr>
          <w:szCs w:val="22"/>
        </w:rPr>
      </w:pPr>
      <w:r>
        <w:rPr>
          <w:szCs w:val="22"/>
        </w:rPr>
        <w:t>„</w:t>
      </w:r>
      <w:r>
        <w:rPr>
          <w:szCs w:val="22"/>
        </w:rPr>
        <w:t>41</w:t>
      </w:r>
      <w:r>
        <w:rPr>
          <w:szCs w:val="22"/>
          <w:vertAlign w:val="superscript"/>
        </w:rPr>
        <w:t>2</w:t>
      </w:r>
      <w:r>
        <w:rPr>
          <w:szCs w:val="22"/>
        </w:rPr>
        <w:t>. Naudojimosi jungiamosiomis linijomis paslaugų kaina t metais apskaičiuojama pagal formulę:</w:t>
      </w:r>
    </w:p>
    <w:p w14:paraId="68EB3039" w14:textId="77777777" w:rsidR="00D15F90" w:rsidRDefault="00C372D6">
      <w:pPr>
        <w:tabs>
          <w:tab w:val="left" w:pos="6237"/>
          <w:tab w:val="left" w:pos="8505"/>
        </w:tabs>
        <w:ind w:firstLine="6237"/>
        <w:jc w:val="right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NJL</m:t>
            </m:r>
            <m:r>
              <w:rPr>
                <w:rFonts w:ascii="Cambria Math" w:hAnsi="Cambria Math"/>
              </w:rPr>
              <m:t>110,</m:t>
            </m:r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NJL</m:t>
            </m:r>
          </m:e>
          <m:sub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</w:rPr>
              <m:t>110,</m:t>
            </m:r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-2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EE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NJL110,t-2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</m:oMath>
      <w:r>
        <w:rPr>
          <w:szCs w:val="22"/>
        </w:rPr>
        <w:t>(17</w:t>
      </w:r>
      <w:r>
        <w:rPr>
          <w:szCs w:val="22"/>
          <w:vertAlign w:val="superscript"/>
        </w:rPr>
        <w:t>2</w:t>
      </w:r>
      <w:r>
        <w:rPr>
          <w:szCs w:val="22"/>
        </w:rPr>
        <w:t>)</w:t>
      </w:r>
    </w:p>
    <w:p w14:paraId="21A5D7D8" w14:textId="77777777" w:rsidR="00D15F90" w:rsidRDefault="00D15F90">
      <w:pPr>
        <w:tabs>
          <w:tab w:val="right" w:pos="9639"/>
        </w:tabs>
        <w:ind w:firstLine="709"/>
        <w:jc w:val="both"/>
        <w:rPr>
          <w:szCs w:val="22"/>
        </w:rPr>
      </w:pPr>
    </w:p>
    <w:p w14:paraId="72564AD7" w14:textId="77777777" w:rsidR="00D15F90" w:rsidRDefault="00C372D6">
      <w:pPr>
        <w:tabs>
          <w:tab w:val="right" w:pos="9639"/>
        </w:tabs>
        <w:ind w:firstLine="709"/>
        <w:jc w:val="both"/>
        <w:rPr>
          <w:szCs w:val="22"/>
        </w:rPr>
      </w:pPr>
      <w:r>
        <w:rPr>
          <w:szCs w:val="22"/>
        </w:rPr>
        <w:t>čia:</w:t>
      </w:r>
    </w:p>
    <w:p w14:paraId="7381FDFB" w14:textId="77777777" w:rsidR="00D15F90" w:rsidRDefault="00C372D6">
      <w:pPr>
        <w:tabs>
          <w:tab w:val="right" w:pos="9639"/>
        </w:tabs>
        <w:ind w:firstLine="709"/>
        <w:jc w:val="both"/>
        <w:rPr>
          <w:szCs w:val="22"/>
        </w:rPr>
      </w:pPr>
      <w:r>
        <w:rPr>
          <w:szCs w:val="22"/>
        </w:rPr>
        <w:t>NJL</w:t>
      </w:r>
      <w:r>
        <w:rPr>
          <w:szCs w:val="22"/>
          <w:vertAlign w:val="subscript"/>
        </w:rPr>
        <w:t>s</w:t>
      </w:r>
      <w:r>
        <w:rPr>
          <w:i/>
          <w:szCs w:val="22"/>
          <w:vertAlign w:val="subscript"/>
        </w:rPr>
        <w:t>110</w:t>
      </w:r>
      <w:r>
        <w:rPr>
          <w:szCs w:val="22"/>
          <w:vertAlign w:val="subscript"/>
        </w:rPr>
        <w:t>,</w:t>
      </w:r>
      <w:r>
        <w:rPr>
          <w:i/>
          <w:szCs w:val="22"/>
          <w:vertAlign w:val="subscript"/>
        </w:rPr>
        <w:t>t</w:t>
      </w:r>
      <w:r>
        <w:rPr>
          <w:szCs w:val="22"/>
        </w:rPr>
        <w:t xml:space="preserve"> – naudojimosi jungiamųjų linijų paslaugomis sąnaudos t-2 metais, Eur.</w:t>
      </w:r>
    </w:p>
    <w:p w14:paraId="5CF98B54" w14:textId="77777777" w:rsidR="00D15F90" w:rsidRDefault="00D15F90">
      <w:pPr>
        <w:tabs>
          <w:tab w:val="right" w:pos="9639"/>
        </w:tabs>
        <w:ind w:firstLine="709"/>
        <w:jc w:val="both"/>
        <w:rPr>
          <w:szCs w:val="22"/>
        </w:rPr>
      </w:pPr>
    </w:p>
    <w:p w14:paraId="6C630D2C" w14:textId="419D8340" w:rsidR="00D15F90" w:rsidRDefault="00C372D6">
      <w:pPr>
        <w:tabs>
          <w:tab w:val="right" w:pos="9639"/>
        </w:tabs>
        <w:ind w:firstLine="709"/>
        <w:jc w:val="both"/>
        <w:rPr>
          <w:szCs w:val="24"/>
        </w:rPr>
      </w:pPr>
      <w:r>
        <w:rPr>
          <w:szCs w:val="22"/>
        </w:rPr>
        <w:t>Naudojimosi jungiamųjų linijų paslaugomis sąnaudos t-2 metais apskaičiuojamos vadovaujantis Aprašu pagal PSO pateiktus t-2 metų duomenis.</w:t>
      </w:r>
    </w:p>
    <w:p w14:paraId="2EFD5443" w14:textId="6404D15E" w:rsidR="00D15F90" w:rsidRDefault="00C372D6">
      <w:pPr>
        <w:tabs>
          <w:tab w:val="right" w:pos="9639"/>
        </w:tabs>
        <w:ind w:firstLine="709"/>
        <w:jc w:val="both"/>
        <w:rPr>
          <w:szCs w:val="24"/>
        </w:rPr>
      </w:pPr>
      <w:r>
        <w:rPr>
          <w:szCs w:val="24"/>
        </w:rPr>
        <w:t>Į naudojimosi jungiamųjų linijų paslaugomis są</w:t>
      </w:r>
      <w:r>
        <w:rPr>
          <w:szCs w:val="24"/>
        </w:rPr>
        <w:t xml:space="preserve">naudas neįtraukiami patiriami kaštai pagal </w:t>
      </w:r>
      <w:r>
        <w:rPr>
          <w:iCs/>
          <w:szCs w:val="24"/>
        </w:rPr>
        <w:t>ITC</w:t>
      </w:r>
      <w:r>
        <w:rPr>
          <w:szCs w:val="24"/>
        </w:rPr>
        <w:t xml:space="preserve"> mechanizmą.“</w:t>
      </w:r>
    </w:p>
    <w:p w14:paraId="27E0F724" w14:textId="105C0DF3" w:rsidR="00D15F90" w:rsidRDefault="00C372D6">
      <w:pPr>
        <w:tabs>
          <w:tab w:val="right" w:pos="9639"/>
        </w:tabs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Papildyti nauju 41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punktu:</w:t>
      </w:r>
    </w:p>
    <w:p w14:paraId="47964ACF" w14:textId="7FF32744" w:rsidR="00D15F90" w:rsidRDefault="00C372D6">
      <w:pPr>
        <w:tabs>
          <w:tab w:val="right" w:pos="9639"/>
        </w:tabs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41</w:t>
      </w:r>
      <w:r>
        <w:rPr>
          <w:szCs w:val="24"/>
          <w:vertAlign w:val="superscript"/>
        </w:rPr>
        <w:t>3</w:t>
      </w:r>
      <w:r>
        <w:rPr>
          <w:szCs w:val="24"/>
        </w:rPr>
        <w:t>. Pirmais dvejais naudojimosi jungiamosiomis linijomis paslaugų kainos nustatymo metais nustatoma naudojimosi jungiamosiomis linijomis paslaugų kaina a</w:t>
      </w:r>
      <w:r>
        <w:rPr>
          <w:szCs w:val="24"/>
        </w:rPr>
        <w:t>pskaičiuojama pagal formulę:</w:t>
      </w:r>
    </w:p>
    <w:p w14:paraId="6BC0B113" w14:textId="4720AD39" w:rsidR="00D15F90" w:rsidRDefault="00C372D6">
      <w:pPr>
        <w:tabs>
          <w:tab w:val="left" w:pos="6237"/>
          <w:tab w:val="left" w:pos="8505"/>
        </w:tabs>
        <w:ind w:firstLine="6237"/>
        <w:jc w:val="right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NJL</m:t>
            </m:r>
            <m:r>
              <w:rPr>
                <w:rFonts w:ascii="Cambria Math" w:hAnsi="Cambria Math"/>
              </w:rPr>
              <m:t>110,</m:t>
            </m:r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sr</m:t>
                </m:r>
                <m:r>
                  <w:rPr>
                    <w:rFonts w:ascii="Cambria Math" w:hAnsi="Cambria Math"/>
                  </w:rPr>
                  <m:t>110,</m:t>
                </m:r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</w:rPr>
                  <m:t>110,</m:t>
                </m:r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)/1000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EE</m:t>
                </m:r>
              </m:e>
              <m:sub>
                <m:r>
                  <w:rPr>
                    <w:rFonts w:ascii="Cambria Math" w:hAnsi="Cambria Math"/>
                  </w:rPr>
                  <m:t>110,</m:t>
                </m:r>
                <m:r>
                  <w:rPr>
                    <w:rFonts w:ascii="Cambria Math" w:hAnsi="Cambria Math"/>
                  </w:rPr>
                  <m:t>t</m:t>
                </m:r>
              </m:sub>
            </m:sSub>
          </m:den>
        </m:f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R,t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FC</m:t>
                </m:r>
              </m:e>
              <m:sub>
                <m:r>
                  <w:rPr>
                    <w:rFonts w:ascii="Cambria Math" w:hAnsi="Cambria Math"/>
                  </w:rPr>
                  <m:t>NJL</m:t>
                </m:r>
                <m:r>
                  <w:rPr>
                    <w:rFonts w:ascii="Cambria Math" w:hAnsi="Cambria Math"/>
                  </w:rPr>
                  <m:t xml:space="preserve"> 110,</m:t>
                </m:r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EE</m:t>
                </m:r>
              </m:e>
              <m:sub>
                <m:r>
                  <w:rPr>
                    <w:rFonts w:ascii="Cambria Math" w:hAnsi="Cambria Math"/>
                  </w:rPr>
                  <m:t>NJL</m:t>
                </m:r>
                <m:r>
                  <w:rPr>
                    <w:rFonts w:ascii="Cambria Math" w:hAnsi="Cambria Math"/>
                  </w:rPr>
                  <m:t>110,</m:t>
                </m:r>
                <m:r>
                  <w:rPr>
                    <w:rFonts w:ascii="Cambria Math" w:hAnsi="Cambria Math"/>
                  </w:rPr>
                  <m:t>t</m:t>
                </m:r>
              </m:sub>
            </m:sSub>
          </m:den>
        </m:f>
      </m:oMath>
      <w:r>
        <w:rPr>
          <w:szCs w:val="22"/>
        </w:rPr>
        <w:t>(17</w:t>
      </w:r>
      <w:r>
        <w:rPr>
          <w:szCs w:val="22"/>
          <w:vertAlign w:val="superscript"/>
        </w:rPr>
        <w:t>3</w:t>
      </w:r>
      <w:r>
        <w:rPr>
          <w:szCs w:val="22"/>
        </w:rPr>
        <w:t>)</w:t>
      </w:r>
    </w:p>
    <w:p w14:paraId="5A5629DA" w14:textId="77777777" w:rsidR="00D15F90" w:rsidRDefault="00D15F90">
      <w:pPr>
        <w:tabs>
          <w:tab w:val="right" w:pos="9639"/>
        </w:tabs>
        <w:jc w:val="both"/>
        <w:rPr>
          <w:szCs w:val="22"/>
        </w:rPr>
      </w:pPr>
    </w:p>
    <w:p w14:paraId="36906517" w14:textId="77777777" w:rsidR="00D15F90" w:rsidRDefault="00C372D6">
      <w:pPr>
        <w:tabs>
          <w:tab w:val="right" w:pos="9639"/>
        </w:tabs>
        <w:ind w:firstLine="709"/>
        <w:jc w:val="both"/>
        <w:rPr>
          <w:szCs w:val="22"/>
        </w:rPr>
      </w:pPr>
      <w:r>
        <w:rPr>
          <w:szCs w:val="22"/>
        </w:rPr>
        <w:t>čia:</w:t>
      </w:r>
    </w:p>
    <w:p w14:paraId="5C82F57A" w14:textId="77777777" w:rsidR="00D15F90" w:rsidRDefault="00C372D6">
      <w:pPr>
        <w:tabs>
          <w:tab w:val="right" w:pos="9639"/>
        </w:tabs>
        <w:ind w:firstLine="709"/>
        <w:jc w:val="both"/>
        <w:rPr>
          <w:szCs w:val="22"/>
        </w:rPr>
      </w:pPr>
      <w:r>
        <w:rPr>
          <w:szCs w:val="22"/>
        </w:rPr>
        <w:t>EE</w:t>
      </w:r>
      <w:r>
        <w:rPr>
          <w:i/>
          <w:szCs w:val="22"/>
          <w:vertAlign w:val="subscript"/>
        </w:rPr>
        <w:t>110,t</w:t>
      </w:r>
      <w:r>
        <w:rPr>
          <w:szCs w:val="22"/>
        </w:rPr>
        <w:t xml:space="preserve"> – planuojama naudojimosi perdavimo sistema apimtis t metais, iš viso, MWh;</w:t>
      </w:r>
    </w:p>
    <w:p w14:paraId="69271DAB" w14:textId="050D1C43" w:rsidR="00D15F90" w:rsidRDefault="00C372D6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FC</w:t>
      </w:r>
      <w:r>
        <w:rPr>
          <w:i/>
          <w:color w:val="000000"/>
          <w:szCs w:val="24"/>
          <w:vertAlign w:val="subscript"/>
        </w:rPr>
        <w:t>NJL110,t</w:t>
      </w:r>
      <w:r>
        <w:rPr>
          <w:color w:val="000000"/>
          <w:szCs w:val="24"/>
        </w:rPr>
        <w:t xml:space="preserve"> – planuojama pastoviųjų sąnaudų, tenkanti naudojimosi jungiamųjų linijų paslaugoms t metais, dalis, Eur. Pastoviosios sąnaudos nustatomos vadovaujantis Aprašu.</w:t>
      </w:r>
    </w:p>
    <w:p w14:paraId="36086D57" w14:textId="11118D7A" w:rsidR="00D15F90" w:rsidRDefault="00C372D6">
      <w:pPr>
        <w:tabs>
          <w:tab w:val="right" w:pos="9639"/>
        </w:tabs>
        <w:ind w:firstLine="709"/>
        <w:jc w:val="both"/>
        <w:rPr>
          <w:szCs w:val="22"/>
        </w:rPr>
      </w:pPr>
      <w:r>
        <w:rPr>
          <w:szCs w:val="24"/>
        </w:rPr>
        <w:t>P</w:t>
      </w:r>
      <w:r>
        <w:rPr>
          <w:i/>
          <w:szCs w:val="24"/>
          <w:vertAlign w:val="subscript"/>
        </w:rPr>
        <w:t>R,t</w:t>
      </w:r>
      <w:r>
        <w:rPr>
          <w:szCs w:val="24"/>
        </w:rPr>
        <w:t xml:space="preserve"> </w:t>
      </w:r>
      <w:r>
        <w:rPr>
          <w:szCs w:val="22"/>
        </w:rPr>
        <w:t>–</w:t>
      </w:r>
      <w:r>
        <w:rPr>
          <w:szCs w:val="24"/>
        </w:rPr>
        <w:t xml:space="preserve"> rinkos kaina t metais nustatoma, vadovaujantis Elektros energijos rinkos kainos nustatym</w:t>
      </w:r>
      <w:r>
        <w:rPr>
          <w:szCs w:val="24"/>
        </w:rPr>
        <w:t>o metodika, patvirtinta Komisijos 2011 m. liepos 8 d. nutarimu Nr. O3-175 „Dėl Elektros energijos rinkos kainos nustatymo metodikos patvirtinimo“, Eur/MWh</w:t>
      </w:r>
      <w:r>
        <w:rPr>
          <w:szCs w:val="22"/>
        </w:rPr>
        <w:t>.</w:t>
      </w:r>
    </w:p>
    <w:p w14:paraId="7FF71237" w14:textId="2D52595D" w:rsidR="00D15F90" w:rsidRPr="00C372D6" w:rsidRDefault="00C372D6" w:rsidP="00C372D6">
      <w:pPr>
        <w:tabs>
          <w:tab w:val="right" w:pos="9639"/>
        </w:tabs>
        <w:ind w:firstLine="709"/>
        <w:jc w:val="both"/>
        <w:rPr>
          <w:szCs w:val="22"/>
          <w:highlight w:val="yellow"/>
        </w:rPr>
      </w:pPr>
      <w:r>
        <w:rPr>
          <w:szCs w:val="24"/>
        </w:rPr>
        <w:t>Į pastoviąsias sąnaudas, tenkančias naudojimosi jungiamųjų linijų paslaugoms, neįtraukiami patiriami</w:t>
      </w:r>
      <w:r>
        <w:rPr>
          <w:szCs w:val="24"/>
        </w:rPr>
        <w:t xml:space="preserve"> kaštai pagal ITC mechanizmą.“</w:t>
      </w:r>
    </w:p>
    <w:p w14:paraId="7920693D" w14:textId="77777777" w:rsidR="00C372D6" w:rsidRDefault="00C372D6">
      <w:pPr>
        <w:tabs>
          <w:tab w:val="right" w:pos="9638"/>
        </w:tabs>
        <w:jc w:val="both"/>
      </w:pPr>
    </w:p>
    <w:p w14:paraId="1AF0E0E6" w14:textId="77777777" w:rsidR="00C372D6" w:rsidRDefault="00C372D6">
      <w:pPr>
        <w:tabs>
          <w:tab w:val="right" w:pos="9638"/>
        </w:tabs>
        <w:jc w:val="both"/>
      </w:pPr>
    </w:p>
    <w:p w14:paraId="25F09945" w14:textId="77777777" w:rsidR="00C372D6" w:rsidRDefault="00C372D6">
      <w:pPr>
        <w:tabs>
          <w:tab w:val="right" w:pos="9638"/>
        </w:tabs>
        <w:jc w:val="both"/>
      </w:pPr>
    </w:p>
    <w:p w14:paraId="03DF4F17" w14:textId="1A34AB02" w:rsidR="00D15F90" w:rsidRDefault="00C372D6">
      <w:pPr>
        <w:tabs>
          <w:tab w:val="right" w:pos="9638"/>
        </w:tabs>
        <w:jc w:val="both"/>
        <w:rPr>
          <w:rFonts w:eastAsia="TimesNewRomanPSMT"/>
          <w:b/>
          <w:color w:val="000000"/>
          <w:szCs w:val="24"/>
        </w:rPr>
      </w:pPr>
      <w:r>
        <w:rPr>
          <w:szCs w:val="22"/>
        </w:rPr>
        <w:t>Komisijos pirmininkė</w:t>
      </w:r>
      <w:r>
        <w:rPr>
          <w:szCs w:val="22"/>
        </w:rPr>
        <w:tab/>
        <w:t>Inga Žilienė</w:t>
      </w:r>
    </w:p>
    <w:bookmarkStart w:id="0" w:name="_GoBack" w:displacedByCustomXml="next"/>
    <w:bookmarkEnd w:id="0" w:displacedByCustomXml="next"/>
    <w:sectPr w:rsidR="00D15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7F9BF" w14:textId="77777777" w:rsidR="00D15F90" w:rsidRDefault="00C372D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67B84F0" w14:textId="77777777" w:rsidR="00D15F90" w:rsidRDefault="00C372D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D0935" w14:textId="77777777" w:rsidR="00D15F90" w:rsidRDefault="00D15F90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A724" w14:textId="77777777" w:rsidR="00D15F90" w:rsidRDefault="00D15F90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4B88" w14:textId="77777777" w:rsidR="00D15F90" w:rsidRDefault="00D15F90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BE11F" w14:textId="77777777" w:rsidR="00D15F90" w:rsidRDefault="00C372D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4BE097DE" w14:textId="77777777" w:rsidR="00D15F90" w:rsidRDefault="00C372D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077F" w14:textId="77777777" w:rsidR="00D15F90" w:rsidRDefault="00D15F90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E849" w14:textId="469A0E55" w:rsidR="00D15F90" w:rsidRDefault="00C372D6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2AFBAED4" w14:textId="77777777" w:rsidR="00D15F90" w:rsidRDefault="00D15F90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ECD16" w14:textId="77777777" w:rsidR="00D15F90" w:rsidRDefault="00D15F90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D"/>
    <w:rsid w:val="007A67ED"/>
    <w:rsid w:val="00C372D6"/>
    <w:rsid w:val="00D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1FE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372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37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372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37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91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6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2015-10-29T12:16:00Z</dcterms:created>
  <dc:creator>Ramutė Cirulytė</dc:creator>
  <lastModifiedBy>GRUNDAITĖ Aistė</lastModifiedBy>
  <lastPrinted>2015-09-02T04:27:00Z</lastPrinted>
  <dcterms:modified xsi:type="dcterms:W3CDTF">2015-10-29T12:50:00Z</dcterms:modified>
  <revision>3</revision>
</coreProperties>
</file>