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3016A34" wp14:editId="2854326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PAKUOČIŲ IR PAKUOČIŲ ATLIEKŲ TVARKYMO ĮSTATYMO NR. IX-517 5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29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XIV-287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5 straipsnio 1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Pakuotės, kad jas būtų galima identifikuoti ir klasifikuoti, gali būti ženklinamos, nurodant pakuotėms pagaminti naudotų medžiagų rūšis  ir tinkamiausią pakuočių atliekų tvarkymo būdą. Pakuočių ženklinimo</w:t>
      </w:r>
      <w:r>
        <w:rPr>
          <w:b/>
          <w:szCs w:val="24"/>
        </w:rPr>
        <w:t xml:space="preserve"> </w:t>
      </w:r>
      <w:r>
        <w:rPr>
          <w:szCs w:val="24"/>
        </w:rPr>
        <w:t>tvarką nustato Vyriausybė arba jos įgaliota institucija.“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5 straipsnio 2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. Gamintojai ir importuotojai (arba jiems atstovaujančios organizacijos), patys ar kolektyviai organizuojantys pakuočių, įskaitant pakuotes, kurioms taikomas užstatas </w:t>
      </w:r>
      <w:r>
        <w:rPr>
          <w:color w:val="000000"/>
          <w:szCs w:val="24"/>
        </w:rPr>
        <w:t>pagal šio įstatymo 11 straipsnio 1 ar 2 dalį</w:t>
      </w:r>
      <w:r>
        <w:rPr>
          <w:szCs w:val="24"/>
        </w:rPr>
        <w:t>, atliekų tvarkymą, be šio straipsnio 1, 3 ir 4 dalyse nurodyto ženklinimo, papildomai gali savo gaminių pakuotes žymėti kitais jų pačių pasirinktais ženklais, nurodančiais dalyvavimą atitinkamoje organizacijoje ar pakuočių atliekų tvarkymo sistemoje.“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 ir įgyvendinimas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išskyrus šio straipsnio 2 dalį, įsigalioja 2021 m. birželio 1 d.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Lietuvos Respublikos Vyriausybė arba jos įgaliota institucija iki 2021 m. gegužės 31 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1233</Characters>
  <Application>Microsoft Office Word</Application>
  <DocSecurity>4</DocSecurity>
  <Lines>35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1408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2021-05-04T13:45:00Z</dcterms:created>
  <dc:creator>MOZERIENĖ Dainora</dc:creator>
  <lastModifiedBy>adlibuser</lastModifiedBy>
  <lastPrinted>2021-04-29T09:32:00Z</lastPrinted>
  <dcterms:modified xsi:type="dcterms:W3CDTF">2021-05-04T13:45:00Z</dcterms:modified>
  <revision>2</revision>
</coreProperties>
</file>