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981E" w14:textId="77777777" w:rsidR="00745265" w:rsidRPr="002E611A" w:rsidRDefault="002E61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  <w:r w:rsidRPr="002E611A">
        <w:rPr>
          <w:rFonts w:ascii="Tahoma" w:hAnsi="Tahoma" w:cs="Tahoma"/>
          <w:noProof/>
          <w:szCs w:val="24"/>
          <w:lang w:eastAsia="lt-LT"/>
        </w:rPr>
        <w:drawing>
          <wp:inline distT="0" distB="0" distL="0" distR="0" wp14:anchorId="124C98F5" wp14:editId="124C98F6">
            <wp:extent cx="5334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9" t="12247" r="8664" b="8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C9820" w14:textId="77777777" w:rsidR="00745265" w:rsidRPr="002E611A" w:rsidRDefault="002E611A">
      <w:pPr>
        <w:ind w:firstLine="34"/>
        <w:jc w:val="center"/>
        <w:rPr>
          <w:b/>
          <w:caps/>
          <w:szCs w:val="24"/>
          <w:lang w:eastAsia="lt-LT"/>
        </w:rPr>
      </w:pPr>
      <w:r w:rsidRPr="002E611A">
        <w:rPr>
          <w:b/>
          <w:caps/>
          <w:szCs w:val="24"/>
          <w:lang w:eastAsia="lt-LT"/>
        </w:rPr>
        <w:t>KŪNO KULTŪROS IR SPORTO DEPARTAMENTo</w:t>
      </w:r>
    </w:p>
    <w:p w14:paraId="124C9821" w14:textId="77777777" w:rsidR="00745265" w:rsidRPr="002E611A" w:rsidRDefault="002E611A">
      <w:pPr>
        <w:ind w:firstLine="720"/>
        <w:jc w:val="center"/>
        <w:rPr>
          <w:b/>
          <w:caps/>
          <w:szCs w:val="24"/>
          <w:lang w:eastAsia="lt-LT"/>
        </w:rPr>
      </w:pPr>
      <w:r w:rsidRPr="002E611A">
        <w:rPr>
          <w:b/>
          <w:caps/>
          <w:szCs w:val="24"/>
          <w:lang w:eastAsia="lt-LT"/>
        </w:rPr>
        <w:t>PRIE LIETUVOS RESPUBLIKOS VYRIAUSYBĖS</w:t>
      </w:r>
    </w:p>
    <w:p w14:paraId="124C9822" w14:textId="77777777" w:rsidR="00745265" w:rsidRPr="002E611A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 w:rsidRPr="002E611A">
        <w:rPr>
          <w:b/>
          <w:caps/>
          <w:szCs w:val="24"/>
          <w:lang w:eastAsia="lt-LT"/>
        </w:rPr>
        <w:t>Generalinis direktorius</w:t>
      </w:r>
    </w:p>
    <w:p w14:paraId="124C9823" w14:textId="77777777" w:rsidR="00745265" w:rsidRPr="002E611A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124C9824" w14:textId="77777777" w:rsidR="00745265" w:rsidRPr="002E611A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 w:rsidRPr="002E611A">
        <w:rPr>
          <w:b/>
          <w:caps/>
          <w:szCs w:val="24"/>
          <w:lang w:eastAsia="lt-LT"/>
        </w:rPr>
        <w:t>Įsakymas</w:t>
      </w:r>
    </w:p>
    <w:p w14:paraId="124C9825" w14:textId="77777777" w:rsidR="00745265" w:rsidRPr="002E611A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 w:rsidRPr="002E611A">
        <w:rPr>
          <w:b/>
          <w:szCs w:val="24"/>
          <w:lang w:eastAsia="lt-LT"/>
        </w:rPr>
        <w:t xml:space="preserve">DĖL KŪNO KULTŪROS IR SPORTO DEPARTAMENTO PRIE LIETUVOS RESPUBLIKOS VYRIAUSYBĖS GENERALINIO DIREKTORIAUS 2006 M. SAUSIO 5 D. ĮSAKYMO NR. V-4 </w:t>
      </w:r>
      <w:r w:rsidRPr="002E611A">
        <w:rPr>
          <w:b/>
          <w:szCs w:val="24"/>
          <w:lang w:eastAsia="lt-LT"/>
        </w:rPr>
        <w:t>„DĖL KŪNO KULTŪROS IR SPORTO BIUDŽETINIŲ ĮSTAIGŲ IR ORGANIZACIJŲ DARBUOTOJŲ DARBO APMOKĖJIMO TVARKOS APRAŠO PATVIRTINIMO“ PAKEITIMO</w:t>
      </w:r>
    </w:p>
    <w:p w14:paraId="124C9826" w14:textId="77777777" w:rsidR="00745265" w:rsidRPr="002E611A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124C9827" w14:textId="77777777" w:rsidR="00745265" w:rsidRPr="002E611A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 w:rsidRPr="002E611A">
        <w:rPr>
          <w:szCs w:val="24"/>
          <w:lang w:eastAsia="lt-LT"/>
        </w:rPr>
        <w:t>2016 m. vasario 12 d. Nr. V-87</w:t>
      </w:r>
    </w:p>
    <w:p w14:paraId="124C9828" w14:textId="77777777" w:rsidR="00745265" w:rsidRPr="002E611A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 w:rsidRPr="002E611A">
        <w:rPr>
          <w:szCs w:val="24"/>
          <w:lang w:eastAsia="lt-LT"/>
        </w:rPr>
        <w:t>Vilnius</w:t>
      </w:r>
    </w:p>
    <w:p w14:paraId="124C9829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t-LT"/>
        </w:rPr>
      </w:pPr>
    </w:p>
    <w:p w14:paraId="124C982A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</w:p>
    <w:p w14:paraId="124C982D" w14:textId="20237BF1" w:rsidR="00745265" w:rsidRDefault="002E611A" w:rsidP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6"/>
        <w:jc w:val="both"/>
        <w:rPr>
          <w:szCs w:val="24"/>
          <w:lang w:eastAsia="lt-LT"/>
        </w:rPr>
      </w:pPr>
      <w:r>
        <w:rPr>
          <w:spacing w:val="30"/>
          <w:szCs w:val="24"/>
          <w:lang w:eastAsia="lt-LT"/>
        </w:rPr>
        <w:t>Pakeičiu</w:t>
      </w:r>
      <w:r>
        <w:rPr>
          <w:spacing w:val="20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Kūno kultūros ir sporto departamento generalinio direktoriaus 2006 m. </w:t>
      </w:r>
      <w:r>
        <w:rPr>
          <w:szCs w:val="24"/>
          <w:lang w:eastAsia="lt-LT"/>
        </w:rPr>
        <w:t>sausio 5 d. įsakymą Nr. V-4 „Dėl kūno kultūros ir sporto biudžetinių įstaigų ir organizacijų darbuotojų darbo apmokėjimo tvarkos aprašo patvirtinimo“ ir išdėstau šio įsakymo 1 ir 2 priedus nauja redakcija (pridedama).</w:t>
      </w:r>
    </w:p>
    <w:p w14:paraId="35CA7AE0" w14:textId="588C086E" w:rsidR="002E611A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CBD3A35" w14:textId="77777777" w:rsidR="002E611A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26EC15F" w14:textId="77777777" w:rsidR="002E611A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24C982E" w14:textId="358E620C" w:rsidR="00745265" w:rsidRDefault="002E611A" w:rsidP="002E611A">
      <w:pPr>
        <w:tabs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Generalinis direktorius 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Edi</w:t>
      </w:r>
      <w:r>
        <w:rPr>
          <w:szCs w:val="24"/>
          <w:lang w:eastAsia="lt-LT"/>
        </w:rPr>
        <w:t xml:space="preserve">s Urbanavičius </w:t>
      </w:r>
    </w:p>
    <w:p w14:paraId="124C982F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</w:p>
    <w:p w14:paraId="124C9830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</w:p>
    <w:p w14:paraId="124C9831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</w:p>
    <w:p w14:paraId="124C9832" w14:textId="35C46671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0" w:firstLine="720"/>
        <w:jc w:val="both"/>
        <w:rPr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745265" w14:paraId="124C983B" w14:textId="77777777">
        <w:tc>
          <w:tcPr>
            <w:tcW w:w="4644" w:type="dxa"/>
          </w:tcPr>
          <w:p w14:paraId="124C9833" w14:textId="56061689" w:rsidR="00745265" w:rsidRDefault="002E611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SUDERINTA:</w:t>
            </w:r>
          </w:p>
          <w:p w14:paraId="124C9834" w14:textId="77777777" w:rsidR="00745265" w:rsidRDefault="00745265">
            <w:pPr>
              <w:rPr>
                <w:sz w:val="18"/>
                <w:szCs w:val="18"/>
              </w:rPr>
            </w:pPr>
          </w:p>
          <w:p w14:paraId="124C9835" w14:textId="77777777" w:rsidR="00745265" w:rsidRDefault="002E611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Lietuvos Respublikos socialinės apsaugos </w:t>
            </w:r>
          </w:p>
          <w:p w14:paraId="124C9836" w14:textId="77777777" w:rsidR="00745265" w:rsidRDefault="00745265">
            <w:pPr>
              <w:rPr>
                <w:sz w:val="18"/>
                <w:szCs w:val="18"/>
              </w:rPr>
            </w:pPr>
          </w:p>
          <w:p w14:paraId="124C9837" w14:textId="77777777" w:rsidR="00745265" w:rsidRDefault="002E611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ir darbo ministerijos 2016 m. vasario 4 d. raštu Nr. (11.10.-53) SD-772</w:t>
            </w:r>
          </w:p>
        </w:tc>
        <w:tc>
          <w:tcPr>
            <w:tcW w:w="4644" w:type="dxa"/>
          </w:tcPr>
          <w:p w14:paraId="124C9838" w14:textId="77777777" w:rsidR="00745265" w:rsidRDefault="002E611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SUDERINTA:</w:t>
            </w:r>
          </w:p>
          <w:p w14:paraId="124C9839" w14:textId="77777777" w:rsidR="00745265" w:rsidRDefault="00745265">
            <w:pPr>
              <w:rPr>
                <w:sz w:val="18"/>
                <w:szCs w:val="18"/>
              </w:rPr>
            </w:pPr>
          </w:p>
          <w:p w14:paraId="124C983A" w14:textId="77777777" w:rsidR="00745265" w:rsidRDefault="002E611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Lietuvos Respublikos finansų ministerijos 2016 m. vasario 9 d. raštu Nr. </w:t>
            </w:r>
            <w:r>
              <w:rPr>
                <w:szCs w:val="24"/>
              </w:rPr>
              <w:t>((1.15-0202)-5K-1602133)-6K-1601156</w:t>
            </w:r>
          </w:p>
        </w:tc>
      </w:tr>
    </w:tbl>
    <w:p w14:paraId="124C983D" w14:textId="429B756A" w:rsidR="00745265" w:rsidRDefault="002E611A"/>
    <w:p w14:paraId="12D7288B" w14:textId="77777777" w:rsidR="002E611A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</w:pPr>
    </w:p>
    <w:p w14:paraId="6EF9F16F" w14:textId="77777777" w:rsidR="002E611A" w:rsidRDefault="002E611A">
      <w:r>
        <w:br w:type="page"/>
      </w:r>
    </w:p>
    <w:p w14:paraId="124C983E" w14:textId="633B24A6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Kūno kultūros ir sporto departamento prie Lietuvos Respublikos Vyriausybės </w:t>
      </w:r>
    </w:p>
    <w:p w14:paraId="124C983F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generalinio direktoriaus 2006 m. sausio 5 d. įsakymo Nr. V-4 </w:t>
      </w:r>
    </w:p>
    <w:p w14:paraId="124C9840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(Kūno kultūros ir sporto departamento prie Lietuvos Respublikos </w:t>
      </w:r>
      <w:r>
        <w:rPr>
          <w:szCs w:val="24"/>
          <w:lang w:eastAsia="lt-LT"/>
        </w:rPr>
        <w:t>Vyriausybės generalinio direktoriaus 2016 m. vasario 12 d. įsakymo Nr. V-87</w:t>
      </w:r>
    </w:p>
    <w:p w14:paraId="124C9841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redakcija)</w:t>
      </w:r>
    </w:p>
    <w:p w14:paraId="124C9842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 priedas</w:t>
      </w:r>
    </w:p>
    <w:p w14:paraId="124C9843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Cs w:val="24"/>
          <w:lang w:eastAsia="lt-LT"/>
        </w:rPr>
      </w:pPr>
    </w:p>
    <w:p w14:paraId="124C9844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SPORTININKŲ UGDYMO CENTRŲ</w:t>
      </w:r>
      <w:r>
        <w:rPr>
          <w:b/>
          <w:szCs w:val="24"/>
          <w:lang w:eastAsia="lt-LT"/>
        </w:rPr>
        <w:t xml:space="preserve"> VADOVŲ, JŲ PAVADUOTOJŲ IR PADALINIŲ VADOVŲ TARNYBINIAI ATLYGINIMAI</w:t>
      </w:r>
    </w:p>
    <w:p w14:paraId="124C9845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4"/>
          <w:lang w:eastAsia="lt-LT"/>
        </w:rPr>
      </w:pPr>
    </w:p>
    <w:p w14:paraId="124C9846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(bazinės mėnesinės algos dydžiais)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2693"/>
        <w:gridCol w:w="2978"/>
      </w:tblGrid>
      <w:tr w:rsidR="00745265" w14:paraId="124C9849" w14:textId="77777777">
        <w:trPr>
          <w:jc w:val="center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47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Pareigybės pavadinimas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48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Koeficientas</w:t>
            </w:r>
          </w:p>
        </w:tc>
      </w:tr>
      <w:tr w:rsidR="00745265" w14:paraId="124C984D" w14:textId="777777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984A" w14:textId="77777777" w:rsidR="00745265" w:rsidRDefault="00745265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4B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rFonts w:cs="Courier New"/>
                <w:bCs/>
                <w:szCs w:val="24"/>
              </w:rPr>
              <w:t>Sportininkų ugdymo centrai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4C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Kūno kultūros ir sporto departamento prie Lietuvos Respublikos Vyriausybės Lietuvos olimpinis sporto centras</w:t>
            </w:r>
          </w:p>
        </w:tc>
      </w:tr>
      <w:tr w:rsidR="00745265" w14:paraId="124C9851" w14:textId="77777777">
        <w:trPr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4E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Įstaigų ir organizacijų vadovai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4F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bCs/>
                <w:strike/>
                <w:sz w:val="22"/>
              </w:rPr>
            </w:pPr>
            <w:r>
              <w:rPr>
                <w:szCs w:val="24"/>
              </w:rPr>
              <w:t>11,7–40,56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50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43,4</w:t>
            </w:r>
          </w:p>
        </w:tc>
      </w:tr>
      <w:tr w:rsidR="00745265" w14:paraId="124C9855" w14:textId="77777777">
        <w:trPr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52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Įstaigų ir organizacijų vadovų pavaduotojai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53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11,15–35,49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54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38,5</w:t>
            </w:r>
          </w:p>
        </w:tc>
      </w:tr>
      <w:tr w:rsidR="00745265" w14:paraId="124C9859" w14:textId="77777777">
        <w:trPr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56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Skyrių ir kitų padalinių vadovai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57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10,53–28,61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58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33,35</w:t>
            </w:r>
          </w:p>
        </w:tc>
      </w:tr>
    </w:tbl>
    <w:p w14:paraId="124C985A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</w:p>
    <w:p w14:paraId="124C985B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PASTABOS:</w:t>
      </w:r>
    </w:p>
    <w:p w14:paraId="124C985C" w14:textId="55B3DC2E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Kitų pedagogų, išskyrus 1 ir 2 prieduose nurodytas pareigybes, tarnybiniai atlyginimai nustatomi pagal šiuos koeficientus (bazinės mėnesinės algos dydžiais):</w:t>
      </w:r>
    </w:p>
    <w:p w14:paraId="124C985D" w14:textId="2B892698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įgijusių aukštąjį universitetinį išsilavinimą: MMA–27,94;</w:t>
      </w:r>
    </w:p>
    <w:p w14:paraId="124C985E" w14:textId="72F12C9F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įgijusių aukštąjį neuniversitetinį išsilavinimą (baigę kolegijas): MMA –26,7;</w:t>
      </w:r>
    </w:p>
    <w:p w14:paraId="124C985F" w14:textId="4D29BFE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įgijusių aukštesnįjį išsilavinimą ar specialųjį vidurinį, įgytą iki 1995 metų: MMA –21,8.</w:t>
      </w:r>
    </w:p>
    <w:p w14:paraId="124C9860" w14:textId="5C5DF11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Skyrių, kitų padalinių vadovų pavaduotojų tarnybiniai atlyginimai nustatomi 10–15 procentų mažesni negu skyrių, kitų padalinių vadovų.</w:t>
      </w:r>
    </w:p>
    <w:p w14:paraId="124C9864" w14:textId="6F121697" w:rsidR="00745265" w:rsidRPr="002E611A" w:rsidRDefault="002E611A" w:rsidP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14:paraId="657E3AFF" w14:textId="77777777" w:rsidR="002E611A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</w:pPr>
    </w:p>
    <w:p w14:paraId="3DB0922A" w14:textId="77777777" w:rsidR="002E611A" w:rsidRDefault="002E611A">
      <w:r>
        <w:br w:type="page"/>
      </w:r>
    </w:p>
    <w:p w14:paraId="124C9865" w14:textId="36AA489D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Kūno kultūros ir sporto departamento prie Lietuvos Respublikos Vyriausybės generalinio direkt</w:t>
      </w:r>
      <w:r>
        <w:rPr>
          <w:szCs w:val="24"/>
          <w:lang w:eastAsia="lt-LT"/>
        </w:rPr>
        <w:t xml:space="preserve">oriaus 2006 m. sausio 05 d. įsakymo Nr. V-4 </w:t>
      </w:r>
    </w:p>
    <w:p w14:paraId="124C9866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(Kūno kultūros ir sporto departamento prie Lietuvos Respublikos Vyriausybės generalinio direktoriaus </w:t>
      </w:r>
    </w:p>
    <w:p w14:paraId="124C9867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2016 m. vasario 12 d. įsakymo Nr. V-87 redakcija)</w:t>
      </w:r>
    </w:p>
    <w:p w14:paraId="124C9868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 priedas</w:t>
      </w:r>
    </w:p>
    <w:p w14:paraId="124C9869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Cs w:val="24"/>
          <w:lang w:eastAsia="lt-LT"/>
        </w:rPr>
      </w:pPr>
    </w:p>
    <w:p w14:paraId="124C986A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Cs w:val="24"/>
          <w:lang w:eastAsia="lt-LT"/>
        </w:rPr>
      </w:pPr>
    </w:p>
    <w:p w14:paraId="124C986B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TRENERIŲ MĖNESINIAI TARIFINIAI ATLYGIAI IR JŲ</w:t>
      </w:r>
      <w:r>
        <w:rPr>
          <w:b/>
          <w:szCs w:val="24"/>
          <w:lang w:eastAsia="lt-LT"/>
        </w:rPr>
        <w:t xml:space="preserve"> PRIEDAI</w:t>
      </w:r>
    </w:p>
    <w:p w14:paraId="124C986C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center"/>
        <w:rPr>
          <w:b/>
          <w:szCs w:val="24"/>
          <w:lang w:eastAsia="lt-LT"/>
        </w:rPr>
      </w:pPr>
    </w:p>
    <w:p w14:paraId="124C986D" w14:textId="466E7F54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. </w:t>
      </w:r>
      <w:r>
        <w:rPr>
          <w:rFonts w:cs="Courier New"/>
          <w:b/>
          <w:bCs/>
          <w:szCs w:val="24"/>
          <w:lang w:eastAsia="lt-LT"/>
        </w:rPr>
        <w:t xml:space="preserve">Sportininkų ugdymo centruose ir </w:t>
      </w:r>
      <w:r>
        <w:rPr>
          <w:b/>
          <w:szCs w:val="24"/>
          <w:lang w:eastAsia="lt-LT"/>
        </w:rPr>
        <w:t>sporto vidurinėse mokyklose dirbančių trenerių mėnesiniai tarifiniai atlygiai (koeficientais) (nustatytai pamokų ir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treniruočių valandų normai per savaitę)</w:t>
      </w:r>
    </w:p>
    <w:p w14:paraId="124C986E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4"/>
          <w:lang w:eastAsia="lt-LT"/>
        </w:rPr>
      </w:pPr>
    </w:p>
    <w:p w14:paraId="124C986F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(bazinės mėnesinės algos dydžiais)</w:t>
      </w:r>
    </w:p>
    <w:p w14:paraId="124C9870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693"/>
      </w:tblGrid>
      <w:tr w:rsidR="00745265" w14:paraId="124C9877" w14:textId="77777777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71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 xml:space="preserve">Pareigybės </w:t>
            </w:r>
          </w:p>
          <w:p w14:paraId="124C9872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73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Išsilavinimas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74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Sportininkų ugdymo centrai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75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Sporto vidurinės mokyklos, sporto gimnazijos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76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Kūno kultūros ir sporto departamento prie Lietuvos Respublikos Vyriausybės Lietuvos olimpinis sporto centras</w:t>
            </w:r>
          </w:p>
        </w:tc>
      </w:tr>
      <w:tr w:rsidR="00745265" w14:paraId="124C987D" w14:textId="77777777">
        <w:trPr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78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Treneris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79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Įgijęs aukštąjį universitetinį </w:t>
            </w:r>
            <w:r>
              <w:rPr>
                <w:szCs w:val="24"/>
              </w:rPr>
              <w:t>išsilavinimą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7A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MMA</w:t>
            </w:r>
            <w:r>
              <w:rPr>
                <w:szCs w:val="24"/>
              </w:rPr>
              <w:t>–16,69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7B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10,73 –16,69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7C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12,23–16,69</w:t>
            </w:r>
          </w:p>
        </w:tc>
      </w:tr>
      <w:tr w:rsidR="00745265" w14:paraId="124C9883" w14:textId="77777777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7E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Treneris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7F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Įgijęs aukštąjį neuniversitetinį išsilavinimą (baigę kolegijas)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80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MMA</w:t>
            </w:r>
            <w:r>
              <w:rPr>
                <w:szCs w:val="24"/>
              </w:rPr>
              <w:t>–15,43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81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10,17 –15,43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82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11,17–15,43</w:t>
            </w:r>
          </w:p>
        </w:tc>
      </w:tr>
      <w:tr w:rsidR="00745265" w14:paraId="124C9889" w14:textId="77777777">
        <w:trPr>
          <w:trHeight w:val="1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84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Treneris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85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Įgijęs aukštesnįjį išsilavinimą ar specialųjį vidurinį, įgytą iki 1995 metų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86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MMA</w:t>
            </w:r>
            <w:r>
              <w:rPr>
                <w:szCs w:val="24"/>
              </w:rPr>
              <w:t>–10,51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87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9,49–10,51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88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9,99–10,51</w:t>
            </w:r>
          </w:p>
        </w:tc>
      </w:tr>
    </w:tbl>
    <w:p w14:paraId="124C988A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Cs w:val="24"/>
          <w:lang w:eastAsia="lt-LT"/>
        </w:rPr>
      </w:pPr>
    </w:p>
    <w:p w14:paraId="124C988B" w14:textId="5F25C11E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PASTABOS:</w:t>
      </w:r>
    </w:p>
    <w:p w14:paraId="124C988C" w14:textId="306D283B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Trenerio tarifiniai atlygiai nustatomi už 18 valandų per savaitę (1 valanda prilyginama 1 akademinei valandai (45 min.). Jeigu sporto mokymo įstaigoje trūksta trenerių arba treneris ugdo didelio meistriškumo sportin</w:t>
      </w:r>
      <w:r>
        <w:rPr>
          <w:szCs w:val="24"/>
          <w:lang w:eastAsia="lt-LT"/>
        </w:rPr>
        <w:t>inkus, kurių treniravimui reikia didelių darbo krūvių, įstaigos vadovo sprendimu treneriui gali būti skiriamas krūvis, kuris neviršytų 36 valandų per savaitę.</w:t>
      </w:r>
    </w:p>
    <w:p w14:paraId="124C988D" w14:textId="6D022E68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2</w:t>
      </w:r>
      <w:r>
        <w:rPr>
          <w:szCs w:val="24"/>
          <w:lang w:eastAsia="lt-LT"/>
        </w:rPr>
        <w:t xml:space="preserve">. Į trenerio darbo laiką įskaitomas ir jo dalyvavimas planinėse sporto varžybose (oficialus </w:t>
      </w:r>
      <w:r>
        <w:rPr>
          <w:szCs w:val="24"/>
          <w:lang w:eastAsia="lt-LT"/>
        </w:rPr>
        <w:t>varžybų laikas) su savo auklėjamais sportininkais (komanda).</w:t>
      </w:r>
    </w:p>
    <w:p w14:paraId="124C988E" w14:textId="5D54F988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Trenerio treniruojamų sportininkų sąrašai peržiūrimi ir koreguojamas darbo laikas, jeigu jo treniruojamas sportininkas pasirašė sutartį su profesionaliu sporto klubu.</w:t>
      </w:r>
    </w:p>
    <w:p w14:paraId="124C988F" w14:textId="1305B748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Cs w:val="24"/>
          <w:lang w:eastAsia="lt-LT"/>
        </w:rPr>
      </w:pPr>
    </w:p>
    <w:p w14:paraId="124C9890" w14:textId="67869162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>. Trenerių mėne</w:t>
      </w:r>
      <w:r>
        <w:rPr>
          <w:b/>
          <w:szCs w:val="24"/>
          <w:lang w:eastAsia="lt-LT"/>
        </w:rPr>
        <w:t>sinių tarifinių atlygių priedų koeficientai už suteiktas kvalifikacines kategorijas (nustatytai pamokų ir treniruočių valandų normai per savaitę)</w:t>
      </w:r>
    </w:p>
    <w:p w14:paraId="124C9891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4"/>
          <w:lang w:eastAsia="lt-LT"/>
        </w:rPr>
      </w:pPr>
    </w:p>
    <w:p w14:paraId="124C9892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(bazinės mėnesinės algos dydžiais)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4426"/>
      </w:tblGrid>
      <w:tr w:rsidR="00745265" w14:paraId="124C9895" w14:textId="77777777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93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Trenerių kvalifikacinių kategorijų pavadinimai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94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Koeficientai</w:t>
            </w:r>
          </w:p>
        </w:tc>
      </w:tr>
      <w:tr w:rsidR="00745265" w14:paraId="124C9898" w14:textId="77777777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96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Tarptautinės </w:t>
            </w:r>
            <w:r>
              <w:rPr>
                <w:szCs w:val="24"/>
              </w:rPr>
              <w:t>kategorijos treneris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97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6,56</w:t>
            </w:r>
          </w:p>
        </w:tc>
      </w:tr>
      <w:tr w:rsidR="00745265" w14:paraId="124C989B" w14:textId="77777777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99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Nacionalinis sporto treneris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9A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5,15</w:t>
            </w:r>
          </w:p>
        </w:tc>
      </w:tr>
      <w:tr w:rsidR="00745265" w14:paraId="124C989E" w14:textId="77777777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9C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Lietuvos sporto treneris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89D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3,62</w:t>
            </w:r>
          </w:p>
        </w:tc>
      </w:tr>
    </w:tbl>
    <w:p w14:paraId="124C989F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</w:p>
    <w:p w14:paraId="124C98A0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PASTABA. Kvalifikacinių kategorijų suteikimo tvarką nustato Departamentas.</w:t>
      </w:r>
    </w:p>
    <w:p w14:paraId="124C98A1" w14:textId="382E6933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</w:p>
    <w:p w14:paraId="124C98A2" w14:textId="04F097E3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. Trenerių mėnesinių tarifinių atlygių priedų koeficientai už sportininkų kiekį </w:t>
      </w:r>
      <w:r>
        <w:rPr>
          <w:b/>
          <w:szCs w:val="24"/>
          <w:lang w:eastAsia="lt-LT"/>
        </w:rPr>
        <w:t>rinktinėse (už faktiškai su rinkinės nariais dirbtą laiką)</w:t>
      </w:r>
    </w:p>
    <w:p w14:paraId="124C98A3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Cs w:val="24"/>
          <w:lang w:eastAsia="lt-LT"/>
        </w:rPr>
      </w:pPr>
    </w:p>
    <w:p w14:paraId="124C98A4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Strateginių, prioritetinių valstybės ir kitų olimpinių sporto šakų treneriams, dirbantiems su atitinkamo meistriškumo sportininkais, nustatomi tokie mėnesinių tarifinių atlygių priedai:</w:t>
      </w:r>
    </w:p>
    <w:p w14:paraId="124C98A5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Cs w:val="24"/>
          <w:lang w:eastAsia="lt-LT"/>
        </w:rPr>
      </w:pPr>
    </w:p>
    <w:p w14:paraId="124C98A6" w14:textId="7777777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right"/>
        <w:rPr>
          <w:szCs w:val="24"/>
          <w:lang w:eastAsia="lt-LT"/>
        </w:rPr>
      </w:pPr>
      <w:r>
        <w:rPr>
          <w:szCs w:val="24"/>
          <w:lang w:eastAsia="lt-LT"/>
        </w:rPr>
        <w:t xml:space="preserve">(bazinės </w:t>
      </w:r>
      <w:r>
        <w:rPr>
          <w:szCs w:val="24"/>
          <w:lang w:eastAsia="lt-LT"/>
        </w:rPr>
        <w:t>mėnesinės algos dydžiais)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4"/>
        <w:gridCol w:w="3101"/>
        <w:gridCol w:w="3101"/>
      </w:tblGrid>
      <w:tr w:rsidR="00745265" w14:paraId="124C98AA" w14:textId="77777777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A7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Sportininkų meistriškumo lygis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A8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Sportininkų skaičius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A9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Priemokos dydis koeficientais</w:t>
            </w:r>
          </w:p>
        </w:tc>
      </w:tr>
      <w:tr w:rsidR="00745265" w14:paraId="124C98AE" w14:textId="77777777"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AB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Olimpinės rinktinės kandidatas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AC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ir daugiau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AD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3,62</w:t>
            </w:r>
          </w:p>
        </w:tc>
      </w:tr>
      <w:tr w:rsidR="00745265" w14:paraId="124C98B2" w14:textId="7777777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C98AF" w14:textId="77777777" w:rsidR="00745265" w:rsidRDefault="00745265">
            <w:pPr>
              <w:rPr>
                <w:szCs w:val="24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B0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B1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2,51</w:t>
            </w:r>
          </w:p>
        </w:tc>
      </w:tr>
      <w:tr w:rsidR="00745265" w14:paraId="124C98B6" w14:textId="77777777"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B3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Olimpinės pamainos rinktinės kandidatas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B4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ir daugiau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B5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1,95</w:t>
            </w:r>
          </w:p>
        </w:tc>
      </w:tr>
      <w:tr w:rsidR="00745265" w14:paraId="124C98BA" w14:textId="7777777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C98B7" w14:textId="77777777" w:rsidR="00745265" w:rsidRDefault="00745265">
            <w:pPr>
              <w:rPr>
                <w:szCs w:val="24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B8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B9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1,40</w:t>
            </w:r>
          </w:p>
        </w:tc>
      </w:tr>
      <w:tr w:rsidR="00745265" w14:paraId="124C98BE" w14:textId="77777777"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BB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Nacionalinės </w:t>
            </w:r>
            <w:r>
              <w:rPr>
                <w:szCs w:val="24"/>
              </w:rPr>
              <w:t>(suaugusiųjų) rinktinės narys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BC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ir daugiau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BD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1,11</w:t>
            </w:r>
          </w:p>
        </w:tc>
      </w:tr>
      <w:tr w:rsidR="00745265" w14:paraId="124C98C2" w14:textId="7777777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C98BF" w14:textId="77777777" w:rsidR="00745265" w:rsidRDefault="00745265">
            <w:pPr>
              <w:rPr>
                <w:szCs w:val="24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C0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C1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0,91</w:t>
            </w:r>
          </w:p>
        </w:tc>
      </w:tr>
      <w:tr w:rsidR="00745265" w14:paraId="124C98C6" w14:textId="77777777"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C3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Jaunimo rinktinės narys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C4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ir daugiau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C5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0,84</w:t>
            </w:r>
          </w:p>
        </w:tc>
      </w:tr>
      <w:tr w:rsidR="00745265" w14:paraId="124C98CA" w14:textId="7777777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C98C7" w14:textId="77777777" w:rsidR="00745265" w:rsidRDefault="00745265">
            <w:pPr>
              <w:rPr>
                <w:szCs w:val="24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C8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C9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0,64</w:t>
            </w:r>
          </w:p>
        </w:tc>
      </w:tr>
      <w:tr w:rsidR="00745265" w14:paraId="124C98CE" w14:textId="77777777"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CB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Jaunių rinktinės narys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CC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ir daugiau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CD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0,69</w:t>
            </w:r>
          </w:p>
        </w:tc>
      </w:tr>
      <w:tr w:rsidR="00745265" w14:paraId="124C98D2" w14:textId="7777777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C98CF" w14:textId="77777777" w:rsidR="00745265" w:rsidRDefault="00745265">
            <w:pPr>
              <w:rPr>
                <w:szCs w:val="24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D0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98D1" w14:textId="77777777" w:rsidR="00745265" w:rsidRDefault="002E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0,35</w:t>
            </w:r>
          </w:p>
        </w:tc>
      </w:tr>
    </w:tbl>
    <w:p w14:paraId="124C98D3" w14:textId="77777777" w:rsidR="00745265" w:rsidRDefault="0074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</w:p>
    <w:p w14:paraId="124C98D4" w14:textId="025EABC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PASTABOS:</w:t>
      </w:r>
    </w:p>
    <w:p w14:paraId="124C98D5" w14:textId="31B16EE7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Šioje dalyje nurodytų priedų suma prie mėnesinių tarifinių atlygių treneriui </w:t>
      </w:r>
      <w:r>
        <w:rPr>
          <w:szCs w:val="24"/>
          <w:lang w:eastAsia="lt-LT"/>
        </w:rPr>
        <w:t>negali viršyti 4,73 koeficiento.</w:t>
      </w:r>
    </w:p>
    <w:p w14:paraId="124C98D6" w14:textId="4625C2DD" w:rsidR="00745265" w:rsidRDefault="00745265">
      <w:pPr>
        <w:rPr>
          <w:sz w:val="18"/>
          <w:szCs w:val="18"/>
        </w:rPr>
      </w:pPr>
    </w:p>
    <w:p w14:paraId="124C98D7" w14:textId="4E192DF5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Olimpinės rinktinės kandidatų, olimpinės pamainos rinktinių kandidatų sąrašus tvirtinta Departamentas Lietuvos tautinio olimpinio komiteto teikimu.</w:t>
      </w:r>
    </w:p>
    <w:p w14:paraId="124C98D8" w14:textId="725BFD81" w:rsidR="00745265" w:rsidRDefault="00745265">
      <w:pPr>
        <w:rPr>
          <w:sz w:val="18"/>
          <w:szCs w:val="18"/>
        </w:rPr>
      </w:pPr>
    </w:p>
    <w:p w14:paraId="124C98D9" w14:textId="5C73F13E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3</w:t>
      </w:r>
      <w:r>
        <w:rPr>
          <w:szCs w:val="24"/>
          <w:lang w:eastAsia="lt-LT"/>
        </w:rPr>
        <w:t>. Departamentas nustato, kurios sporto šakos yra laikomos pri</w:t>
      </w:r>
      <w:r>
        <w:rPr>
          <w:szCs w:val="24"/>
          <w:lang w:eastAsia="lt-LT"/>
        </w:rPr>
        <w:t>oritetinėmis valstybės ir strateginėmis.</w:t>
      </w:r>
    </w:p>
    <w:p w14:paraId="124C98DA" w14:textId="052D2696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Nacionalinės (suaugusiųjų) rinktinės narys – sportininkas, kuris Lietuvos rinktinės sudėtyje dalyvavo tarptautinėse suaugusiųjų varžybose, kurios yra įtrauktos į Lietuvos arba tarptautinės sporto šakos federa</w:t>
      </w:r>
      <w:r>
        <w:rPr>
          <w:szCs w:val="24"/>
          <w:lang w:eastAsia="lt-LT"/>
        </w:rPr>
        <w:t>cijos varžybų kalendorių.</w:t>
      </w:r>
    </w:p>
    <w:p w14:paraId="124C98DB" w14:textId="5468F47F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Jaunimo rinktinės narys – sportininkas, kuris Lietuvos rinktinės sudėtyje dalyvavo tarptautinėse jaunimo varžybose, kurios yra įtrauktos į Lietuvos arba tarptautinės sporto šakos federacijos varžybų kalendorių.</w:t>
      </w:r>
    </w:p>
    <w:p w14:paraId="124C98DC" w14:textId="7D037332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Jaunių rinktinės narys – sportininkas, kuris Lietuvos rinktinės sudėtyje dalyvavo tarptautinėse jaunių varžybose, kurios yra įtrauktos į Lietuvos arba tarptautinės sporto šakos federacijos varžybų kalendorių.</w:t>
      </w:r>
    </w:p>
    <w:p w14:paraId="124C98DD" w14:textId="5245604C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Sportininko dalyvavimas varžybose vertin</w:t>
      </w:r>
      <w:r>
        <w:rPr>
          <w:szCs w:val="24"/>
          <w:lang w:eastAsia="lt-LT"/>
        </w:rPr>
        <w:t>amas vadovaujantis sporto (šakų) federacijų (asociacijų, sąjungų) tinkamai patvirtintų protokolų duomenimis. Dokumentų kopijos laikomos tinkamai patvirtintomis, jei jos patvirtintos žyma „Kopija tikra“ ir federacijos antspaudu (jeigu federacija antspaudą p</w:t>
      </w:r>
      <w:r>
        <w:rPr>
          <w:szCs w:val="24"/>
          <w:lang w:eastAsia="lt-LT"/>
        </w:rPr>
        <w:t>rivalo turėti) bei federacijos vienasmenio valdymo organo ar jo įgalioto asmens parašu, nurodant pasirašančiojo vardą, pavardę, pareigas ir datą.</w:t>
      </w:r>
    </w:p>
    <w:p w14:paraId="124C98DE" w14:textId="5C7785A6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Trenerių mėnesinių tarifinių atlygių priedų koeficientai už sportininkų kiekį nacionalinėse (suaugusiųj</w:t>
      </w:r>
      <w:r>
        <w:rPr>
          <w:szCs w:val="24"/>
          <w:lang w:eastAsia="lt-LT"/>
        </w:rPr>
        <w:t>ų), jaunimo ir jaunių rinktinėse mokami ne ilgiau kaip vienerius metus nuo sportininko sportinio rezultato pasiekimo dienos.</w:t>
      </w:r>
    </w:p>
    <w:p w14:paraId="124C98DF" w14:textId="43C9B46E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Individualių sporto šakų trenerių mėnesinių tarifinių atlygių priedų koeficientai už sportininkų, atitinkančių 4, 5 ir 6 pas</w:t>
      </w:r>
      <w:r>
        <w:rPr>
          <w:szCs w:val="24"/>
          <w:lang w:eastAsia="lt-LT"/>
        </w:rPr>
        <w:t xml:space="preserve">tabose nurodytus kriterijus, kiekį mokami, jeigu sportininkas savo rungties varžybose aplenkė ne mažiau kaip </w:t>
      </w:r>
      <w:r>
        <w:rPr>
          <w:color w:val="000000"/>
          <w:szCs w:val="24"/>
          <w:lang w:eastAsia="lt-LT"/>
        </w:rPr>
        <w:t>vieną penktadalį rungties dalyvių ir šios rungties varžybose dalyvavo ne mažiau kaip 6 šalių atstovai.</w:t>
      </w:r>
    </w:p>
    <w:p w14:paraId="124C98E0" w14:textId="7C478B0D" w:rsidR="00745265" w:rsidRDefault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Komandinių žaidimų sporto šakų trene</w:t>
      </w:r>
      <w:r>
        <w:rPr>
          <w:szCs w:val="24"/>
          <w:lang w:eastAsia="lt-LT"/>
        </w:rPr>
        <w:t xml:space="preserve">rių mėnesinių tarifinių atlygių priedų koeficientai už sportininkų, atitinkančių 4, 5 ir 6 pastabose nurodytus kriterijus, kiekį mokami, jeigu sportininkas savo rungties varžybose aplenkė ne mažiau kaip </w:t>
      </w:r>
      <w:r>
        <w:rPr>
          <w:color w:val="000000"/>
          <w:szCs w:val="24"/>
          <w:lang w:eastAsia="lt-LT"/>
        </w:rPr>
        <w:t>vieną penktadalį rungties dalyvių ir šios rungties va</w:t>
      </w:r>
      <w:r>
        <w:rPr>
          <w:color w:val="000000"/>
          <w:szCs w:val="24"/>
          <w:lang w:eastAsia="lt-LT"/>
        </w:rPr>
        <w:t>ržybose dalyvavo ne mažiau kaip 4 šalių atstovai.</w:t>
      </w:r>
    </w:p>
    <w:p w14:paraId="124C98F4" w14:textId="50CC09AC" w:rsidR="00745265" w:rsidRPr="002E611A" w:rsidRDefault="002E611A" w:rsidP="002E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</w:t>
      </w:r>
    </w:p>
    <w:bookmarkStart w:id="0" w:name="_GoBack" w:displacedByCustomXml="next"/>
    <w:bookmarkEnd w:id="0" w:displacedByCustomXml="next"/>
    <w:sectPr w:rsidR="00745265" w:rsidRPr="002E61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4F"/>
    <w:rsid w:val="002E611A"/>
    <w:rsid w:val="00745265"/>
    <w:rsid w:val="008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9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E61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E6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AA"/>
    <w:rsid w:val="00D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714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714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4985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2016-02-17T08:42:00Z</dcterms:created>
  <dc:creator>Kornelija Tiesnesytė</dc:creator>
  <lastModifiedBy>GRUNDAITĖ Aistė</lastModifiedBy>
  <dcterms:modified xsi:type="dcterms:W3CDTF">2016-03-08T14:38:00Z</dcterms:modified>
  <revision>3</revision>
</coreProperties>
</file>