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1FD26" w14:textId="77777777" w:rsidR="006950F9" w:rsidRDefault="006950F9">
      <w:pPr>
        <w:jc w:val="center"/>
        <w:rPr>
          <w:lang w:eastAsia="lt-LT"/>
        </w:rPr>
      </w:pPr>
    </w:p>
    <w:p w14:paraId="1A31FD27" w14:textId="77777777" w:rsidR="006950F9" w:rsidRDefault="006950F9">
      <w:pPr>
        <w:jc w:val="center"/>
        <w:rPr>
          <w:lang w:eastAsia="lt-LT"/>
        </w:rPr>
      </w:pPr>
    </w:p>
    <w:p w14:paraId="1A31FD28" w14:textId="77777777" w:rsidR="006950F9" w:rsidRDefault="0092748B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1A31FD52" wp14:editId="1A31FD53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FD29" w14:textId="77777777" w:rsidR="006950F9" w:rsidRDefault="006950F9">
      <w:pPr>
        <w:rPr>
          <w:sz w:val="10"/>
          <w:szCs w:val="10"/>
        </w:rPr>
      </w:pPr>
    </w:p>
    <w:p w14:paraId="1A31FD2A" w14:textId="77777777" w:rsidR="006950F9" w:rsidRDefault="0092748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A31FD2B" w14:textId="77777777" w:rsidR="006950F9" w:rsidRDefault="006950F9">
      <w:pPr>
        <w:jc w:val="center"/>
        <w:rPr>
          <w:caps/>
          <w:lang w:eastAsia="lt-LT"/>
        </w:rPr>
      </w:pPr>
    </w:p>
    <w:p w14:paraId="1A31FD2C" w14:textId="77777777" w:rsidR="006950F9" w:rsidRDefault="0092748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A31FD2D" w14:textId="77777777" w:rsidR="006950F9" w:rsidRDefault="0092748B">
      <w:pPr>
        <w:tabs>
          <w:tab w:val="center" w:pos="4153"/>
          <w:tab w:val="right" w:pos="8306"/>
        </w:tabs>
        <w:jc w:val="center"/>
        <w:rPr>
          <w:b/>
          <w:lang w:eastAsia="lt-LT"/>
        </w:rPr>
      </w:pPr>
      <w:r>
        <w:rPr>
          <w:b/>
          <w:lang w:eastAsia="lt-LT"/>
        </w:rPr>
        <w:t xml:space="preserve">DĖL LIETUVOS RESPUBLIKOS VYRIAUSYBĖS 2003 M. SPALIO 9 D. NUTARIMO NR. 1252 „DĖL LAISVO PREKIŲ JUDĖJIMO IR PASIKEITIMO INFORMACIJA APIE </w:t>
      </w:r>
      <w:r>
        <w:rPr>
          <w:b/>
          <w:lang w:eastAsia="lt-LT"/>
        </w:rPr>
        <w:t>NACIONALINES PRIEMONES UŽTIKRINIMO“ PAKEITIMO</w:t>
      </w:r>
    </w:p>
    <w:p w14:paraId="1A31FD2E" w14:textId="77777777" w:rsidR="006950F9" w:rsidRDefault="006950F9">
      <w:pPr>
        <w:tabs>
          <w:tab w:val="center" w:pos="4153"/>
          <w:tab w:val="right" w:pos="8306"/>
        </w:tabs>
        <w:rPr>
          <w:lang w:eastAsia="lt-LT"/>
        </w:rPr>
      </w:pPr>
    </w:p>
    <w:p w14:paraId="1A31FD2F" w14:textId="53CBC111" w:rsidR="006950F9" w:rsidRDefault="0092748B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2019 m. gruodžio 18 d.  </w:t>
      </w:r>
      <w:r>
        <w:rPr>
          <w:lang w:eastAsia="lt-LT"/>
        </w:rPr>
        <w:t>Nr. 1309</w:t>
      </w:r>
    </w:p>
    <w:p w14:paraId="1A31FD30" w14:textId="77777777" w:rsidR="006950F9" w:rsidRDefault="0092748B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A31FD31" w14:textId="77777777" w:rsidR="006950F9" w:rsidRDefault="006950F9">
      <w:pPr>
        <w:jc w:val="center"/>
        <w:rPr>
          <w:lang w:eastAsia="lt-LT"/>
        </w:rPr>
      </w:pPr>
    </w:p>
    <w:p w14:paraId="1A31FD32" w14:textId="77777777" w:rsidR="006950F9" w:rsidRDefault="0092748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1A31FD33" w14:textId="77777777" w:rsidR="006950F9" w:rsidRDefault="0092748B">
      <w:pPr>
        <w:spacing w:line="276" w:lineRule="auto"/>
        <w:ind w:firstLine="709"/>
        <w:jc w:val="both"/>
        <w:rPr>
          <w:rFonts w:eastAsia="Calibri"/>
          <w:szCs w:val="24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</w:t>
      </w:r>
      <w:r>
        <w:rPr>
          <w:rFonts w:eastAsia="Calibri"/>
          <w:szCs w:val="24"/>
        </w:rPr>
        <w:t xml:space="preserve"> Lietuvos Respublikos Vyriausybės 2003 m. spalio 9 d. nutarimą Nr. 1252 „Dėl laisvo prekių judėjimo ir pasikeitimo informacija apie naciona</w:t>
      </w:r>
      <w:r>
        <w:rPr>
          <w:rFonts w:eastAsia="Calibri"/>
          <w:szCs w:val="24"/>
        </w:rPr>
        <w:t>lines priemones užtikrinimo“ ir jį išdėstyti nauja redakcija:</w:t>
      </w:r>
    </w:p>
    <w:p w14:paraId="1A31FD34" w14:textId="77777777" w:rsidR="006950F9" w:rsidRDefault="006950F9">
      <w:pPr>
        <w:keepNext/>
        <w:spacing w:line="276" w:lineRule="auto"/>
        <w:jc w:val="center"/>
        <w:rPr>
          <w:b/>
          <w:caps/>
          <w:szCs w:val="24"/>
          <w:lang w:eastAsia="lt-LT"/>
        </w:rPr>
      </w:pPr>
    </w:p>
    <w:p w14:paraId="1A31FD35" w14:textId="77777777" w:rsidR="006950F9" w:rsidRDefault="0092748B">
      <w:pPr>
        <w:keepNext/>
        <w:spacing w:line="276" w:lineRule="auto"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„Lietuvos Respublikos Vyriausybė</w:t>
      </w:r>
    </w:p>
    <w:p w14:paraId="1A31FD36" w14:textId="77777777" w:rsidR="006950F9" w:rsidRDefault="006950F9">
      <w:pPr>
        <w:spacing w:line="276" w:lineRule="auto"/>
        <w:jc w:val="center"/>
        <w:rPr>
          <w:b/>
          <w:caps/>
          <w:szCs w:val="24"/>
          <w:lang w:eastAsia="lt-LT"/>
        </w:rPr>
      </w:pPr>
    </w:p>
    <w:p w14:paraId="1A31FD37" w14:textId="77777777" w:rsidR="006950F9" w:rsidRDefault="0092748B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nutarimas</w:t>
      </w:r>
    </w:p>
    <w:p w14:paraId="1A31FD38" w14:textId="77777777" w:rsidR="006950F9" w:rsidRDefault="0092748B">
      <w:pPr>
        <w:widowControl w:val="0"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DĖL 2019 m. kovo 19 d. Europos Parlamento ir Tarybos reglamento (ES) 2019/515 dėl kitoje valstybėje narėje teisėtai parduodamų prekių abipusio pripažinimo, kuriuo panaikinamas Reglamentas (EB) Nr. 764/2008, </w:t>
      </w:r>
    </w:p>
    <w:p w14:paraId="1A31FD39" w14:textId="77777777" w:rsidR="006950F9" w:rsidRDefault="0092748B">
      <w:pPr>
        <w:widowControl w:val="0"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įgyvendinimO ir ABIPUSIO PRIPAŽINIMO PRINCIPO SA</w:t>
      </w:r>
      <w:r>
        <w:rPr>
          <w:b/>
          <w:caps/>
          <w:szCs w:val="24"/>
          <w:lang w:eastAsia="lt-LT"/>
        </w:rPr>
        <w:t>MPRATOS</w:t>
      </w:r>
    </w:p>
    <w:p w14:paraId="1A31FD3A" w14:textId="77777777" w:rsidR="006950F9" w:rsidRDefault="006950F9">
      <w:pPr>
        <w:spacing w:line="276" w:lineRule="auto"/>
        <w:jc w:val="center"/>
        <w:rPr>
          <w:szCs w:val="24"/>
          <w:lang w:eastAsia="lt-LT"/>
        </w:rPr>
      </w:pPr>
    </w:p>
    <w:p w14:paraId="1A31FD3B" w14:textId="77777777" w:rsidR="006950F9" w:rsidRDefault="0092748B">
      <w:pPr>
        <w:tabs>
          <w:tab w:val="left" w:pos="3119"/>
        </w:tabs>
        <w:spacing w:line="276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Įgyvendindama 2019 m. kovo 19 d. Europos Parlamento ir Tarybos reglamentą (ES) 2019/515 dėl kitoje valstybėje narėje teisėtai parduodamų prekių abipusio pripažinimo, kuriuo panaikinamas Reglamentas (EB) Nr. 764/2008 (OL 2019 L 91, p. 1) (toliau – </w:t>
      </w:r>
      <w:r>
        <w:rPr>
          <w:rFonts w:eastAsia="Calibri"/>
          <w:szCs w:val="24"/>
        </w:rPr>
        <w:t xml:space="preserve">Reglamentas (ES) 2019/515), </w:t>
      </w: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1A31FD3C" w14:textId="77777777" w:rsidR="006950F9" w:rsidRDefault="0092748B">
      <w:pPr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>Paskirti:</w:t>
      </w:r>
    </w:p>
    <w:p w14:paraId="1A31FD3D" w14:textId="77777777" w:rsidR="006950F9" w:rsidRDefault="0092748B">
      <w:pPr>
        <w:tabs>
          <w:tab w:val="left" w:pos="567"/>
          <w:tab w:val="left" w:pos="993"/>
          <w:tab w:val="left" w:pos="1134"/>
        </w:tabs>
        <w:spacing w:line="276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>Lietuvos Respublikos ekonomikos ir inovacijų ministeriją atsakingą už Reglamento (ES) 2019/515 14 straipsnio 2 dalyje nurodytos informacijos pateikimą Europos Komi</w:t>
      </w:r>
      <w:r>
        <w:rPr>
          <w:rFonts w:eastAsia="Calibri"/>
          <w:szCs w:val="24"/>
        </w:rPr>
        <w:t>sijai;</w:t>
      </w:r>
    </w:p>
    <w:p w14:paraId="1A31FD3E" w14:textId="77777777" w:rsidR="006950F9" w:rsidRDefault="0092748B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proofErr w:type="spellStart"/>
      <w:r>
        <w:rPr>
          <w:rFonts w:eastAsia="Calibri"/>
          <w:szCs w:val="24"/>
        </w:rPr>
        <w:t>VšĮ</w:t>
      </w:r>
      <w:proofErr w:type="spellEnd"/>
      <w:r>
        <w:rPr>
          <w:rFonts w:eastAsia="Calibri"/>
          <w:szCs w:val="24"/>
        </w:rPr>
        <w:t xml:space="preserve"> „Versli Lietuva“ atlikti Reglamento (ES) 2019/515 9 straipsnyje nurodytas Gaminių kontaktinio centro užduotis. Šios užduotys turi būti atliekamos pagal 2018 m. spalio 2 d. Europos Parlamento ir Tarybos reglamentą (ES) 2018/1724, kuriuo </w:t>
      </w:r>
      <w:r>
        <w:rPr>
          <w:rFonts w:eastAsia="Calibri"/>
          <w:szCs w:val="24"/>
        </w:rPr>
        <w:t>sukuriami bendrieji skaitmeniniai vartai, skirti suteikti prieigą prie informacijos, procedūrų ir pagalbos bei problemų sprendimo paslaugų, ir kuriuo iš dalies keičiamas Reglamentas (ES) Nr. 1024/2012 (OL 295 L 2018, p. 1);</w:t>
      </w:r>
    </w:p>
    <w:p w14:paraId="1A31FD3F" w14:textId="77777777" w:rsidR="006950F9" w:rsidRDefault="0092748B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 xml:space="preserve">viešojo administravimo </w:t>
      </w:r>
      <w:r>
        <w:rPr>
          <w:rFonts w:eastAsia="Calibri"/>
          <w:szCs w:val="24"/>
        </w:rPr>
        <w:t>subjektus, priimančius administracinius sprendimus riboti prekių, kurioms taikomas abipusio pripažinimo principas ir kurios įtrauktos į pavyzdinį Europos Komisijos interneto svetainėje skelbiamą sąrašą, patekimą į Lietuvos Respublikos rinką arba neleisti p</w:t>
      </w:r>
      <w:r>
        <w:rPr>
          <w:rFonts w:eastAsia="Calibri"/>
          <w:szCs w:val="24"/>
        </w:rPr>
        <w:t xml:space="preserve">atekti į Lietuvos Respublikos rinką (toliau – kompetentinga institucija), </w:t>
      </w:r>
      <w:r>
        <w:rPr>
          <w:rFonts w:eastAsia="Calibri"/>
          <w:szCs w:val="24"/>
        </w:rPr>
        <w:lastRenderedPageBreak/>
        <w:t>atlikti Reglamente (ES) 2019/515 valstybių narių kompetentingoms institucijoms nustatytas funkcijas.</w:t>
      </w:r>
    </w:p>
    <w:p w14:paraId="1A31FD40" w14:textId="77777777" w:rsidR="006950F9" w:rsidRDefault="0092748B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Pavesti:</w:t>
      </w:r>
    </w:p>
    <w:p w14:paraId="1A31FD41" w14:textId="77777777" w:rsidR="006950F9" w:rsidRDefault="0092748B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 šio nutarimo 1.2, 1.3 ir 3.1 papunkčiuose nurodytiems su</w:t>
      </w:r>
      <w:r>
        <w:rPr>
          <w:szCs w:val="24"/>
          <w:lang w:eastAsia="lt-LT"/>
        </w:rPr>
        <w:t>bjektams teikti Ekonomikos ir inovacijų ministerijai informaciją, reikalingą šio nutarimo 1.1 papunktyje nurodytai funkcijai atlikti, per jos nustatytą ne trumpesnį kaip 5 darbo dienų terminą;</w:t>
      </w:r>
    </w:p>
    <w:p w14:paraId="1A31FD42" w14:textId="77777777" w:rsidR="006950F9" w:rsidRDefault="0092748B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rFonts w:eastAsia="Calibri"/>
          <w:szCs w:val="24"/>
        </w:rPr>
        <w:t>2.2</w:t>
      </w:r>
      <w:r>
        <w:rPr>
          <w:rFonts w:eastAsia="Calibri"/>
          <w:szCs w:val="24"/>
        </w:rPr>
        <w:t>. šio nutarimo 1.2 ir 1.3</w:t>
      </w:r>
      <w:r>
        <w:rPr>
          <w:rFonts w:eastAsia="Calibri"/>
          <w:iCs/>
          <w:sz w:val="22"/>
          <w:szCs w:val="22"/>
        </w:rPr>
        <w:t xml:space="preserve"> </w:t>
      </w:r>
      <w:r>
        <w:rPr>
          <w:rFonts w:eastAsia="Calibri"/>
          <w:iCs/>
          <w:szCs w:val="24"/>
        </w:rPr>
        <w:t>papunkčiuose nurodytoms instit</w:t>
      </w:r>
      <w:r>
        <w:rPr>
          <w:rFonts w:eastAsia="Calibri"/>
          <w:iCs/>
          <w:szCs w:val="24"/>
        </w:rPr>
        <w:t>ucijoms ir įstaigoms dalyvauti Reglamento (ES) 2019/515 10 straipsnio 1 dalyje nurodytoje veikloje</w:t>
      </w:r>
      <w:r>
        <w:rPr>
          <w:rFonts w:eastAsia="Calibri"/>
          <w:szCs w:val="24"/>
        </w:rPr>
        <w:t>.</w:t>
      </w:r>
    </w:p>
    <w:p w14:paraId="1A31FD43" w14:textId="77777777" w:rsidR="006950F9" w:rsidRDefault="0092748B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Nustatyti, kad:</w:t>
      </w:r>
    </w:p>
    <w:p w14:paraId="1A31FD44" w14:textId="77777777" w:rsidR="006950F9" w:rsidRDefault="0092748B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3.1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 xml:space="preserve">ministerijos, Vyriausybės įstaigos, Vyriausybei </w:t>
      </w:r>
      <w:proofErr w:type="spellStart"/>
      <w:r>
        <w:rPr>
          <w:rFonts w:eastAsia="Calibri"/>
          <w:szCs w:val="24"/>
        </w:rPr>
        <w:t>atskaitingos</w:t>
      </w:r>
      <w:proofErr w:type="spellEnd"/>
      <w:r>
        <w:rPr>
          <w:rFonts w:eastAsia="Calibri"/>
          <w:szCs w:val="24"/>
        </w:rPr>
        <w:t xml:space="preserve"> institucijos ir įstaigos, ministerijoms, Vyriausybės įstaigoms,</w:t>
      </w:r>
      <w:r>
        <w:rPr>
          <w:rFonts w:eastAsia="Calibri"/>
          <w:szCs w:val="24"/>
        </w:rPr>
        <w:t xml:space="preserve"> Vyriausybei </w:t>
      </w:r>
      <w:proofErr w:type="spellStart"/>
      <w:r>
        <w:rPr>
          <w:rFonts w:eastAsia="Calibri"/>
          <w:szCs w:val="24"/>
        </w:rPr>
        <w:t>atskaitingoms</w:t>
      </w:r>
      <w:proofErr w:type="spellEnd"/>
      <w:r>
        <w:rPr>
          <w:rFonts w:eastAsia="Calibri"/>
          <w:szCs w:val="24"/>
        </w:rPr>
        <w:t xml:space="preserve"> institucijoms ir įstaigoms pavaldžios institucijos ir įstaigos, taip pat ministerijų, Vyriausybės įstaigų, Vyriausybei </w:t>
      </w:r>
      <w:proofErr w:type="spellStart"/>
      <w:r>
        <w:rPr>
          <w:rFonts w:eastAsia="Calibri"/>
          <w:szCs w:val="24"/>
        </w:rPr>
        <w:t>atskaitingų</w:t>
      </w:r>
      <w:proofErr w:type="spellEnd"/>
      <w:r>
        <w:rPr>
          <w:rFonts w:eastAsia="Calibri"/>
          <w:szCs w:val="24"/>
        </w:rPr>
        <w:t xml:space="preserve"> institucijų ir įstaigų pavaldžioms institucijoms ir įstaigoms pavaldžios institucijos ir įstaigos,</w:t>
      </w:r>
      <w:r>
        <w:rPr>
          <w:rFonts w:eastAsia="Calibri"/>
          <w:szCs w:val="24"/>
        </w:rPr>
        <w:t xml:space="preserve"> rengiančios techninių taisyklių, kaip jos apibrėžtos Reglamento (ES) 2019/515 2 straipsnio 2 dalyje, projektus, juose įtvirtintų abipusio pripažinimo sąlygą arba darytų nuorodą į šio nutarimo 3.2 papunktį;</w:t>
      </w:r>
    </w:p>
    <w:p w14:paraId="1A31FD45" w14:textId="77777777" w:rsidR="006950F9" w:rsidRDefault="0092748B">
      <w:pPr>
        <w:tabs>
          <w:tab w:val="left" w:pos="1134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rFonts w:eastAsia="Calibri"/>
          <w:szCs w:val="24"/>
        </w:rPr>
        <w:t>abipusio pripažinimo principas turėtų bū</w:t>
      </w:r>
      <w:r>
        <w:rPr>
          <w:rFonts w:eastAsia="Calibri"/>
          <w:szCs w:val="24"/>
        </w:rPr>
        <w:t>ti suprantamas kaip galimybė teisėtai kitoje Europos Sąjungos valstybėje narėje, Europos laisvosios prekybos asociacijos valstybėje, pasirašiusioje Europos ekonominės erdvės susitarimą, arba Turkijoje (toliau kartu – valstybė narė) pagamintas prekes, kuria</w:t>
      </w:r>
      <w:r>
        <w:rPr>
          <w:rFonts w:eastAsia="Calibri"/>
          <w:szCs w:val="24"/>
        </w:rPr>
        <w:t>s leidžiama tiekti rinkai toje valstybėje narėje, arba prekes, teisėtai importuotas iš trečiosios valstybės į Europos Sąjungos valstybę narę arba Turkiją, kurias leidžiama tiekti rinkai Europos Sąjungos valstybėje narėje arba Turkijoje, be jokių apribojimų</w:t>
      </w:r>
      <w:r>
        <w:rPr>
          <w:rFonts w:eastAsia="Calibri"/>
          <w:szCs w:val="24"/>
        </w:rPr>
        <w:t xml:space="preserve"> tiekti Lietuvos Respublikos rinkai, net jeigu tos prekės buvo pagamintos vadovaujantis skirtingomis nei Lietuvos Respublikoje tokiems gaminiams taikomos techninėmis taisyklėmis, kaip jos apibrėžtos Reglamento (ES) 2019/515 2 straipsnio 2 dalyje;</w:t>
      </w:r>
    </w:p>
    <w:p w14:paraId="1A31FD46" w14:textId="669FE4BE" w:rsidR="006950F9" w:rsidRDefault="0092748B">
      <w:pPr>
        <w:tabs>
          <w:tab w:val="left" w:pos="1134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rFonts w:eastAsia="Calibri"/>
          <w:szCs w:val="24"/>
        </w:rPr>
        <w:t xml:space="preserve">ekonominės veiklos vykdytojui, kaip jis apibrėžtas Reglamento (ES) </w:t>
      </w:r>
      <w:r>
        <w:rPr>
          <w:rFonts w:eastAsia="Calibri"/>
          <w:szCs w:val="24"/>
        </w:rPr>
        <w:t>2019/515 3 straipsnio 12 dalyje, suteikiama ne mažiau kaip 15 darbo dienų ir ne daugiau kaip 25 darbo dienos nuo Reglamento (ES) 2019/515 5 straipsnio 5 dalyje n</w:t>
      </w:r>
      <w:r>
        <w:rPr>
          <w:rFonts w:eastAsia="Calibri"/>
          <w:szCs w:val="24"/>
        </w:rPr>
        <w:t>urodyto kompetentingos institucijos prašymo gavimo pateikti Reglamento (ES) 2019/515 5 straipsnio 4 dalies a punkte ar 5 dalyje nurodytus dokumentus ir informaciją ir visus argumentus ar pastabas, kurių ekonominės veiklos vykdytojas galėtų turėti.</w:t>
      </w:r>
    </w:p>
    <w:p w14:paraId="1A31FD47" w14:textId="77777777" w:rsidR="006950F9" w:rsidRDefault="0092748B">
      <w:pPr>
        <w:tabs>
          <w:tab w:val="left" w:pos="993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Pasiūlyti šio nutarimo 3.1 papunktyje nenurodytoms valstybės ir savivaldybių institucijoms ir įstaigoms, rengiančioms techninių taisyklių, kaip jos apibrėžtos Reglamento (ES) 2019/515 2 straipsnio 2 dalyje, projektus, vadovautis šio nutarimo 2.1, 3.1 ir 3</w:t>
      </w:r>
      <w:r>
        <w:rPr>
          <w:rFonts w:eastAsia="Calibri"/>
          <w:szCs w:val="24"/>
        </w:rPr>
        <w:t>.2 papunkčiais.“</w:t>
      </w:r>
    </w:p>
    <w:p w14:paraId="1A31FD4B" w14:textId="4841753A" w:rsidR="006950F9" w:rsidRDefault="0092748B" w:rsidP="0092748B">
      <w:pPr>
        <w:tabs>
          <w:tab w:val="left" w:pos="851"/>
        </w:tabs>
        <w:spacing w:line="276" w:lineRule="auto"/>
        <w:ind w:firstLine="709"/>
        <w:jc w:val="both"/>
        <w:rPr>
          <w:lang w:eastAsia="lt-LT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Šis nutarimas įsigalioja 2020 m. balandžio 19 d.</w:t>
      </w:r>
    </w:p>
    <w:p w14:paraId="1992F220" w14:textId="77777777" w:rsidR="0092748B" w:rsidRDefault="0092748B">
      <w:pPr>
        <w:tabs>
          <w:tab w:val="center" w:pos="-7800"/>
          <w:tab w:val="left" w:pos="6237"/>
          <w:tab w:val="right" w:pos="8306"/>
        </w:tabs>
      </w:pPr>
    </w:p>
    <w:p w14:paraId="29585039" w14:textId="77777777" w:rsidR="0092748B" w:rsidRDefault="0092748B">
      <w:pPr>
        <w:tabs>
          <w:tab w:val="center" w:pos="-7800"/>
          <w:tab w:val="left" w:pos="6237"/>
          <w:tab w:val="right" w:pos="8306"/>
        </w:tabs>
      </w:pPr>
    </w:p>
    <w:p w14:paraId="3C0A523B" w14:textId="77777777" w:rsidR="0092748B" w:rsidRDefault="0092748B">
      <w:pPr>
        <w:tabs>
          <w:tab w:val="center" w:pos="-7800"/>
          <w:tab w:val="left" w:pos="6237"/>
          <w:tab w:val="right" w:pos="8306"/>
        </w:tabs>
      </w:pPr>
    </w:p>
    <w:p w14:paraId="1A31FD4C" w14:textId="355F6FFF" w:rsidR="006950F9" w:rsidRDefault="0092748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1A31FD4D" w14:textId="77777777" w:rsidR="006950F9" w:rsidRDefault="006950F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A31FD4E" w14:textId="77777777" w:rsidR="006950F9" w:rsidRDefault="006950F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A31FD4F" w14:textId="77777777" w:rsidR="006950F9" w:rsidRDefault="006950F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A31FD50" w14:textId="77777777" w:rsidR="006950F9" w:rsidRDefault="0092748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Energetikos ministras, laikinai einantis</w:t>
      </w:r>
    </w:p>
    <w:p w14:paraId="1A31FD51" w14:textId="77777777" w:rsidR="006950F9" w:rsidRDefault="0092748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ekonomikos ir inovacijų ministro pareigas</w:t>
      </w:r>
      <w:r>
        <w:rPr>
          <w:lang w:eastAsia="lt-LT"/>
        </w:rPr>
        <w:tab/>
        <w:t>Žygimantas Vaičiūnas</w:t>
      </w:r>
      <w:r>
        <w:rPr>
          <w:lang w:eastAsia="lt-LT"/>
        </w:rPr>
        <w:tab/>
      </w:r>
    </w:p>
    <w:sectPr w:rsidR="00695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1FD56" w14:textId="77777777" w:rsidR="006950F9" w:rsidRDefault="0092748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A31FD57" w14:textId="77777777" w:rsidR="006950F9" w:rsidRDefault="0092748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1FD5C" w14:textId="77777777" w:rsidR="006950F9" w:rsidRDefault="006950F9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1FD5D" w14:textId="77777777" w:rsidR="006950F9" w:rsidRDefault="006950F9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1FD5F" w14:textId="77777777" w:rsidR="006950F9" w:rsidRDefault="006950F9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1FD54" w14:textId="77777777" w:rsidR="006950F9" w:rsidRDefault="0092748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A31FD55" w14:textId="77777777" w:rsidR="006950F9" w:rsidRDefault="0092748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1FD58" w14:textId="77777777" w:rsidR="006950F9" w:rsidRDefault="0092748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A31FD59" w14:textId="77777777" w:rsidR="006950F9" w:rsidRDefault="006950F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1FD5A" w14:textId="77777777" w:rsidR="006950F9" w:rsidRDefault="0092748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1A31FD5B" w14:textId="77777777" w:rsidR="006950F9" w:rsidRDefault="006950F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1FD5E" w14:textId="77777777" w:rsidR="006950F9" w:rsidRDefault="006950F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6950F9"/>
    <w:rsid w:val="0092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31F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5125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2019-12-20T08:44:00Z</dcterms:created>
  <dc:creator>lrvk</dc:creator>
  <lastModifiedBy>TAMALIŪNIENĖ Vilija</lastModifiedBy>
  <lastPrinted>2017-06-01T05:28:00Z</lastPrinted>
  <dcterms:modified xsi:type="dcterms:W3CDTF">2019-12-20T11:30:00Z</dcterms:modified>
  <revision>3</revision>
</coreProperties>
</file>