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400CF" w14:textId="77777777" w:rsidR="004D747F" w:rsidRDefault="00087E15">
      <w:pPr>
        <w:tabs>
          <w:tab w:val="center" w:pos="4153"/>
          <w:tab w:val="right" w:pos="8306"/>
        </w:tabs>
        <w:suppressAutoHyphens/>
        <w:ind w:right="142"/>
        <w:jc w:val="center"/>
        <w:textAlignment w:val="baseline"/>
        <w:rPr>
          <w:sz w:val="20"/>
          <w:lang w:eastAsia="lt-LT"/>
        </w:rPr>
      </w:pPr>
      <w:r>
        <w:rPr>
          <w:noProof/>
          <w:color w:val="000000"/>
          <w:szCs w:val="24"/>
          <w:lang w:eastAsia="lt-LT"/>
        </w:rPr>
        <w:drawing>
          <wp:inline distT="0" distB="0" distL="0" distR="0" wp14:anchorId="776400E2" wp14:editId="776400E3">
            <wp:extent cx="542925" cy="552453"/>
            <wp:effectExtent l="0" t="0" r="9525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2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6400D0" w14:textId="77777777" w:rsidR="004D747F" w:rsidRDefault="004D747F">
      <w:pPr>
        <w:tabs>
          <w:tab w:val="center" w:pos="4153"/>
          <w:tab w:val="right" w:pos="8306"/>
        </w:tabs>
        <w:suppressAutoHyphens/>
        <w:ind w:right="142"/>
        <w:jc w:val="center"/>
        <w:textAlignment w:val="baseline"/>
        <w:rPr>
          <w:sz w:val="8"/>
          <w:szCs w:val="8"/>
          <w:lang w:eastAsia="lt-LT"/>
        </w:rPr>
      </w:pPr>
    </w:p>
    <w:p w14:paraId="776400D1" w14:textId="77777777" w:rsidR="004D747F" w:rsidRDefault="00087E15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suppressAutoHyphens/>
        <w:ind w:right="142"/>
        <w:jc w:val="center"/>
        <w:textAlignment w:val="baseline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VALSTYBINĖS DUOMENŲ APSAUGOS INSPEKCIJOS</w:t>
      </w:r>
    </w:p>
    <w:p w14:paraId="776400D2" w14:textId="77777777" w:rsidR="004D747F" w:rsidRDefault="00087E15">
      <w:pPr>
        <w:keepNext/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suppressAutoHyphens/>
        <w:ind w:right="142"/>
        <w:jc w:val="center"/>
        <w:textAlignment w:val="baseline"/>
        <w:outlineLvl w:val="4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DIREKTORIUS</w:t>
      </w:r>
    </w:p>
    <w:p w14:paraId="776400D3" w14:textId="77777777" w:rsidR="004D747F" w:rsidRDefault="004D747F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suppressAutoHyphens/>
        <w:ind w:right="142"/>
        <w:jc w:val="both"/>
        <w:textAlignment w:val="baseline"/>
        <w:rPr>
          <w:rFonts w:eastAsia="Calibri"/>
          <w:szCs w:val="24"/>
        </w:rPr>
      </w:pPr>
    </w:p>
    <w:p w14:paraId="776400D4" w14:textId="77777777" w:rsidR="004D747F" w:rsidRDefault="00087E15">
      <w:pPr>
        <w:keepNext/>
        <w:tabs>
          <w:tab w:val="left" w:pos="993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suppressAutoHyphens/>
        <w:ind w:right="142"/>
        <w:jc w:val="center"/>
        <w:textAlignment w:val="baseline"/>
        <w:outlineLvl w:val="1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776400D5" w14:textId="77777777" w:rsidR="004D747F" w:rsidRDefault="00087E15">
      <w:pPr>
        <w:keepNext/>
        <w:tabs>
          <w:tab w:val="left" w:pos="993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suppressAutoHyphens/>
        <w:ind w:right="142"/>
        <w:jc w:val="center"/>
        <w:textAlignment w:val="baseline"/>
        <w:outlineLvl w:val="1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INFORMACIJOS APIE KIBERNETINIUS INCIDENTUS, SUSIJUSIUS SU ASMENS DUOMENŲ SAUGUMO PAŽEIDIMAIS, IR TAIKYTAS ŠIŲ INCIDENTŲ VALDYMO PRIEMONES PATEIKIMO VALSTYBINEI DUOMENŲ APSAUGOS </w:t>
      </w:r>
      <w:r>
        <w:rPr>
          <w:b/>
          <w:szCs w:val="24"/>
          <w:lang w:eastAsia="lt-LT"/>
        </w:rPr>
        <w:t>INSPEKCIJAI TVARKOS APRAŠO IR REKOMENDUOJAMOS INFORMACIJOS APIE KIBERNETINIUS INCIDENTUS, SUSIJUSIUS SU ASMENS DUOMENŲ SAUGUMO PAŽEIDIMAIS, IR TAIKYTAS ŠIŲ INCIDENTŲ VALDYMO PRIEMONES PATEIKIMO VALSTYBINEI DUOMENŲ APSAUGOS INSPEKCIJAI FORMOS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PATVIRTINIMO</w:t>
      </w:r>
    </w:p>
    <w:p w14:paraId="776400D6" w14:textId="77777777" w:rsidR="004D747F" w:rsidRDefault="004D747F">
      <w:pPr>
        <w:keepNext/>
        <w:tabs>
          <w:tab w:val="left" w:pos="993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suppressAutoHyphens/>
        <w:ind w:right="142"/>
        <w:jc w:val="center"/>
        <w:textAlignment w:val="baseline"/>
        <w:outlineLvl w:val="1"/>
        <w:rPr>
          <w:szCs w:val="24"/>
          <w:lang w:eastAsia="lt-LT"/>
        </w:rPr>
      </w:pPr>
    </w:p>
    <w:p w14:paraId="776400D7" w14:textId="7A91FE0C" w:rsidR="004D747F" w:rsidRDefault="00087E15">
      <w:pPr>
        <w:keepNext/>
        <w:tabs>
          <w:tab w:val="left" w:pos="993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suppressAutoHyphens/>
        <w:ind w:right="142"/>
        <w:jc w:val="center"/>
        <w:textAlignment w:val="baseline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>2015 m. vasario 25 d. Nr. 1T- 11 (1.12.E)</w:t>
      </w:r>
    </w:p>
    <w:p w14:paraId="776400D8" w14:textId="77777777" w:rsidR="004D747F" w:rsidRDefault="00087E15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suppressAutoHyphens/>
        <w:ind w:right="142"/>
        <w:jc w:val="center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 w14:paraId="776400D9" w14:textId="77777777" w:rsidR="004D747F" w:rsidRDefault="004D747F">
      <w:pPr>
        <w:rPr>
          <w:sz w:val="14"/>
          <w:szCs w:val="14"/>
        </w:rPr>
      </w:pPr>
    </w:p>
    <w:p w14:paraId="776400DA" w14:textId="77777777" w:rsidR="004D747F" w:rsidRDefault="004D747F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suppressAutoHyphens/>
        <w:ind w:right="142"/>
        <w:jc w:val="center"/>
        <w:textAlignment w:val="baseline"/>
        <w:rPr>
          <w:rFonts w:eastAsia="Calibri"/>
          <w:b/>
          <w:szCs w:val="24"/>
        </w:rPr>
      </w:pPr>
    </w:p>
    <w:bookmarkStart w:id="0" w:name="_GoBack" w:displacedByCustomXml="prev"/>
    <w:p w14:paraId="776400DB" w14:textId="77777777" w:rsidR="004D747F" w:rsidRDefault="00087E15">
      <w:pPr>
        <w:keepNext/>
        <w:tabs>
          <w:tab w:val="left" w:pos="993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suppressAutoHyphens/>
        <w:ind w:firstLine="851"/>
        <w:jc w:val="both"/>
        <w:textAlignment w:val="baseline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>Vadovaudamasis Lietuvos Respublikos kibernetinio saugumo įstatymo 11 straipsnio 3 punktu,</w:t>
      </w:r>
    </w:p>
    <w:bookmarkEnd w:id="0" w:displacedByCustomXml="next"/>
    <w:p w14:paraId="776400DC" w14:textId="77777777" w:rsidR="004D747F" w:rsidRDefault="00087E15">
      <w:pPr>
        <w:keepNext/>
        <w:tabs>
          <w:tab w:val="left" w:pos="993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suppressAutoHyphens/>
        <w:ind w:firstLine="851"/>
        <w:jc w:val="both"/>
        <w:textAlignment w:val="baseline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>t v i r t i n u:</w:t>
      </w:r>
    </w:p>
    <w:p w14:paraId="776400DD" w14:textId="77777777" w:rsidR="004D747F" w:rsidRDefault="00087E15">
      <w:pPr>
        <w:keepNext/>
        <w:tabs>
          <w:tab w:val="left" w:pos="993"/>
          <w:tab w:val="left" w:pos="1134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suppressAutoHyphens/>
        <w:ind w:firstLine="851"/>
        <w:jc w:val="both"/>
        <w:textAlignment w:val="baseline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Informacijos apie kibernetinius incidentus, susijusius su asmens duomenų saugumo </w:t>
      </w:r>
      <w:r>
        <w:rPr>
          <w:szCs w:val="24"/>
          <w:lang w:eastAsia="lt-LT"/>
        </w:rPr>
        <w:t>pažeidimais, ir taikytas šių incidentų valdymo priemones pateikimo Valstybinei duomenų apsaugos inspekcijai tvarkos aprašą (pridedama).</w:t>
      </w:r>
    </w:p>
    <w:p w14:paraId="776400E0" w14:textId="5930F521" w:rsidR="004D747F" w:rsidRDefault="00087E15" w:rsidP="00087E15">
      <w:pPr>
        <w:tabs>
          <w:tab w:val="left" w:pos="1134"/>
        </w:tabs>
        <w:suppressAutoHyphens/>
        <w:spacing w:line="249" w:lineRule="auto"/>
        <w:ind w:firstLine="851"/>
        <w:jc w:val="both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rFonts w:eastAsia="Calibri"/>
          <w:szCs w:val="24"/>
          <w:lang w:eastAsia="lt-LT"/>
        </w:rPr>
        <w:t xml:space="preserve">rekomenduojamą </w:t>
      </w:r>
      <w:r>
        <w:rPr>
          <w:rFonts w:eastAsia="Calibri"/>
          <w:szCs w:val="24"/>
        </w:rPr>
        <w:t>Informacijos apie kibernetinius incidentus, susijusius su asmens duomenų saugumo pažeidimais, ir t</w:t>
      </w:r>
      <w:r>
        <w:rPr>
          <w:rFonts w:eastAsia="Calibri"/>
          <w:szCs w:val="24"/>
        </w:rPr>
        <w:t>aikytas šių incidentų valdymo priemones pateikimo Valstybinei duomenų apsaugos inspekcijai formą (pridedama).</w:t>
      </w:r>
    </w:p>
    <w:p w14:paraId="0708AA8A" w14:textId="77777777" w:rsidR="00087E15" w:rsidRDefault="00087E15">
      <w:pPr>
        <w:suppressAutoHyphens/>
        <w:textAlignment w:val="center"/>
      </w:pPr>
    </w:p>
    <w:p w14:paraId="2D755846" w14:textId="77777777" w:rsidR="00087E15" w:rsidRDefault="00087E15">
      <w:pPr>
        <w:suppressAutoHyphens/>
        <w:textAlignment w:val="center"/>
      </w:pPr>
    </w:p>
    <w:p w14:paraId="09C847EE" w14:textId="77777777" w:rsidR="00087E15" w:rsidRDefault="00087E15">
      <w:pPr>
        <w:suppressAutoHyphens/>
        <w:textAlignment w:val="center"/>
      </w:pPr>
    </w:p>
    <w:p w14:paraId="34C4670E" w14:textId="77777777" w:rsidR="00087E15" w:rsidRDefault="00087E15">
      <w:pPr>
        <w:suppressAutoHyphens/>
        <w:textAlignment w:val="center"/>
        <w:rPr>
          <w:rFonts w:eastAsia="Calibri"/>
          <w:szCs w:val="24"/>
        </w:rPr>
      </w:pPr>
      <w:r>
        <w:rPr>
          <w:rFonts w:eastAsia="Calibri"/>
          <w:szCs w:val="24"/>
        </w:rPr>
        <w:t>Direktorius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 xml:space="preserve">  </w:t>
      </w:r>
      <w:r>
        <w:rPr>
          <w:rFonts w:eastAsia="Calibri"/>
          <w:szCs w:val="24"/>
        </w:rPr>
        <w:t xml:space="preserve">  Algirdas Kunčinas</w:t>
      </w:r>
    </w:p>
    <w:p w14:paraId="3035CE3E" w14:textId="6DB246D8" w:rsidR="004D747F" w:rsidRDefault="00087E15">
      <w:pPr>
        <w:suppressAutoHyphens/>
        <w:textAlignment w:val="center"/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14:paraId="780F3F64" w14:textId="77777777" w:rsidR="004D747F" w:rsidRDefault="00087E15">
      <w:pPr>
        <w:suppressAutoHyphens/>
        <w:textAlignment w:val="center"/>
        <w:rPr>
          <w:rFonts w:eastAsia="Calibri"/>
          <w:szCs w:val="24"/>
        </w:rPr>
      </w:pPr>
    </w:p>
    <w:p w14:paraId="6F1EFC20" w14:textId="77777777" w:rsidR="004D747F" w:rsidRDefault="00087E15">
      <w:pPr>
        <w:ind w:left="5103" w:right="142"/>
        <w:textAlignment w:val="center"/>
      </w:pPr>
      <w:r>
        <w:rPr>
          <w:color w:val="000000"/>
          <w:szCs w:val="24"/>
          <w:lang w:eastAsia="lt-LT"/>
        </w:rPr>
        <w:t>PATVIRTINTA</w:t>
      </w:r>
    </w:p>
    <w:p w14:paraId="12BB42A0" w14:textId="77777777" w:rsidR="004D747F" w:rsidRDefault="00087E15">
      <w:pPr>
        <w:ind w:left="5103" w:right="142"/>
        <w:textAlignment w:val="center"/>
      </w:pPr>
      <w:r>
        <w:rPr>
          <w:color w:val="000000"/>
          <w:szCs w:val="24"/>
          <w:lang w:eastAsia="lt-LT"/>
        </w:rPr>
        <w:t>Valstybinės duomenų apsaugos inspekcijos</w:t>
      </w:r>
    </w:p>
    <w:p w14:paraId="34F7B64A" w14:textId="7131A9F8" w:rsidR="004D747F" w:rsidRDefault="00087E15">
      <w:pPr>
        <w:ind w:left="5103" w:right="142"/>
        <w:textAlignment w:val="center"/>
      </w:pPr>
      <w:r>
        <w:rPr>
          <w:color w:val="000000"/>
          <w:szCs w:val="24"/>
          <w:lang w:eastAsia="lt-LT"/>
        </w:rPr>
        <w:t xml:space="preserve">direktoriaus 2015 m. </w:t>
      </w:r>
      <w:r>
        <w:rPr>
          <w:color w:val="000000"/>
          <w:szCs w:val="24"/>
          <w:lang w:eastAsia="lt-LT"/>
        </w:rPr>
        <w:t>vasario 25 d.</w:t>
      </w:r>
    </w:p>
    <w:p w14:paraId="1E18F746" w14:textId="0FE50C72" w:rsidR="004D747F" w:rsidRDefault="00087E15">
      <w:pPr>
        <w:ind w:left="5103" w:right="142"/>
        <w:textAlignment w:val="center"/>
      </w:pPr>
      <w:r>
        <w:rPr>
          <w:color w:val="000000"/>
          <w:szCs w:val="24"/>
          <w:lang w:eastAsia="lt-LT"/>
        </w:rPr>
        <w:t>įsakymu Nr. 1T-11  (1.12.E)</w:t>
      </w:r>
    </w:p>
    <w:p w14:paraId="3ED2E95C" w14:textId="77777777" w:rsidR="004D747F" w:rsidRDefault="004D747F">
      <w:pPr>
        <w:ind w:firstLine="312"/>
        <w:jc w:val="center"/>
        <w:textAlignment w:val="center"/>
        <w:rPr>
          <w:color w:val="000000"/>
          <w:szCs w:val="24"/>
          <w:lang w:eastAsia="lt-LT"/>
        </w:rPr>
      </w:pPr>
    </w:p>
    <w:p w14:paraId="3C4F395A" w14:textId="77777777" w:rsidR="004D747F" w:rsidRDefault="004D747F">
      <w:pPr>
        <w:ind w:firstLine="312"/>
        <w:jc w:val="center"/>
        <w:textAlignment w:val="center"/>
        <w:rPr>
          <w:szCs w:val="24"/>
          <w:lang w:eastAsia="lt-LT"/>
        </w:rPr>
      </w:pPr>
    </w:p>
    <w:p w14:paraId="4657FDBF" w14:textId="77777777" w:rsidR="004D747F" w:rsidRDefault="00087E15">
      <w:pPr>
        <w:jc w:val="center"/>
        <w:textAlignment w:val="center"/>
        <w:rPr>
          <w:rFonts w:ascii="Calibri" w:eastAsia="Calibri" w:hAnsi="Calibri"/>
          <w:sz w:val="22"/>
          <w:szCs w:val="22"/>
        </w:rPr>
      </w:pPr>
      <w:r>
        <w:rPr>
          <w:b/>
          <w:szCs w:val="24"/>
        </w:rPr>
        <w:t xml:space="preserve">INFORMACIJOS APIE KIBERNETINIUS INCIDENTUS, SUSIJUSIUS SU ASMENS DUOMENŲ SAUGUMO PAŽEIDIMAIS, IR TAIKYTAS ŠIŲ INCIDENTŲ VALDYMO PRIEMONES PATEIKIMO VALSTYBINEI DUOMENŲ APSAUGOS INSPEKCIJAI </w:t>
      </w:r>
      <w:r>
        <w:rPr>
          <w:b/>
          <w:bCs/>
          <w:caps/>
          <w:color w:val="000000"/>
          <w:szCs w:val="24"/>
          <w:lang w:eastAsia="lt-LT"/>
        </w:rPr>
        <w:t>TVARKOS APRAŠAS</w:t>
      </w:r>
    </w:p>
    <w:p w14:paraId="38AE703D" w14:textId="77777777" w:rsidR="004D747F" w:rsidRDefault="004D747F">
      <w:pPr>
        <w:jc w:val="center"/>
        <w:textAlignment w:val="center"/>
      </w:pPr>
    </w:p>
    <w:p w14:paraId="1714A490" w14:textId="47B8B787" w:rsidR="004D747F" w:rsidRDefault="00087E15">
      <w:pPr>
        <w:tabs>
          <w:tab w:val="left" w:pos="993"/>
        </w:tabs>
        <w:ind w:right="142" w:firstLine="851"/>
        <w:jc w:val="both"/>
        <w:textAlignment w:val="center"/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szCs w:val="24"/>
        </w:rPr>
        <w:t>Informacijos apie kibernetinius incidentus, susijusius su asmens duomenų saugumo pažeidimais, ir taikytas šių incidentų valdymo priemones pateikimo Valstybinei duomenų apsaugos inspekcijai</w:t>
      </w:r>
      <w:r>
        <w:rPr>
          <w:color w:val="000000"/>
          <w:szCs w:val="24"/>
          <w:lang w:eastAsia="lt-LT"/>
        </w:rPr>
        <w:t xml:space="preserve"> tvarkos aprašas (toliau – Aprašas) nustato </w:t>
      </w:r>
      <w:r>
        <w:rPr>
          <w:szCs w:val="24"/>
        </w:rPr>
        <w:t xml:space="preserve">viešojo administravimo </w:t>
      </w:r>
      <w:r>
        <w:rPr>
          <w:szCs w:val="24"/>
        </w:rPr>
        <w:t xml:space="preserve">subjektams, valdantiems valstybės informacinius išteklius, ypatingos svarbos informacinės infrastruktūros valdytojams, viešųjų ryšių tinklų ir (arba) viešųjų elektroninių ryšių paslaugų teikėjams, elektroninės informacijos prieglobos paslaugų teikėjams </w:t>
      </w:r>
      <w:r>
        <w:rPr>
          <w:color w:val="000000"/>
          <w:szCs w:val="24"/>
          <w:lang w:eastAsia="lt-LT"/>
        </w:rPr>
        <w:t>inf</w:t>
      </w:r>
      <w:r>
        <w:rPr>
          <w:color w:val="000000"/>
          <w:szCs w:val="24"/>
          <w:lang w:eastAsia="lt-LT"/>
        </w:rPr>
        <w:t xml:space="preserve">ormacijos apie </w:t>
      </w:r>
      <w:r>
        <w:rPr>
          <w:szCs w:val="24"/>
        </w:rPr>
        <w:t xml:space="preserve">kibernetinius incidentus, susijusius su asmens duomenų saugumo pažeidimais, ir taikytas šių incidentų valdymo priemones </w:t>
      </w:r>
      <w:r>
        <w:rPr>
          <w:color w:val="000000"/>
          <w:szCs w:val="24"/>
          <w:lang w:eastAsia="lt-LT"/>
        </w:rPr>
        <w:t>pateikimo Valstybinei duomenų apsaugos inspekcijai (toliau – Inspekcija) tvarką ir sąlygas.</w:t>
      </w:r>
    </w:p>
    <w:p w14:paraId="0DF9D7F8" w14:textId="6A15F729" w:rsidR="004D747F" w:rsidRDefault="00087E15">
      <w:pPr>
        <w:tabs>
          <w:tab w:val="left" w:pos="993"/>
        </w:tabs>
        <w:ind w:right="142" w:firstLine="851"/>
        <w:jc w:val="both"/>
        <w:textAlignment w:val="center"/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color w:val="000000"/>
          <w:spacing w:val="-4"/>
          <w:szCs w:val="24"/>
          <w:lang w:eastAsia="lt-LT"/>
        </w:rPr>
        <w:t>Pagal Aprašą Inspekcij</w:t>
      </w:r>
      <w:r>
        <w:rPr>
          <w:color w:val="000000"/>
          <w:spacing w:val="-4"/>
          <w:szCs w:val="24"/>
          <w:lang w:eastAsia="lt-LT"/>
        </w:rPr>
        <w:t xml:space="preserve">ai teikiami pranešimai apie kibernetinius incidentus, </w:t>
      </w:r>
      <w:r>
        <w:rPr>
          <w:color w:val="000000"/>
          <w:spacing w:val="-2"/>
          <w:szCs w:val="24"/>
          <w:lang w:eastAsia="lt-LT"/>
        </w:rPr>
        <w:t>dėl kurių atsitiktinai arba neteisėtai sunaikinami, prarandami, pakeičiami, be asmens sutikimo atskleidžiami asmens duomenys arba sudaroma galimybė naudotis tais duomenimis, kai jie buvo perduodami, sau</w:t>
      </w:r>
      <w:r>
        <w:rPr>
          <w:color w:val="000000"/>
          <w:spacing w:val="-2"/>
          <w:szCs w:val="24"/>
          <w:lang w:eastAsia="lt-LT"/>
        </w:rPr>
        <w:t>gomi arba kitaip tvarkomi (toliau – pranešimas).</w:t>
      </w:r>
    </w:p>
    <w:p w14:paraId="44DF0CA6" w14:textId="15A68F1E" w:rsidR="004D747F" w:rsidRDefault="00087E15">
      <w:pPr>
        <w:tabs>
          <w:tab w:val="left" w:pos="993"/>
        </w:tabs>
        <w:ind w:right="142" w:firstLine="851"/>
        <w:jc w:val="both"/>
        <w:textAlignment w:val="center"/>
        <w:rPr>
          <w:color w:val="000000"/>
          <w:spacing w:val="-4"/>
          <w:szCs w:val="24"/>
          <w:lang w:eastAsia="lt-LT"/>
        </w:rPr>
      </w:pPr>
      <w:r>
        <w:rPr>
          <w:color w:val="000000"/>
          <w:spacing w:val="-4"/>
          <w:szCs w:val="24"/>
          <w:lang w:eastAsia="lt-LT"/>
        </w:rPr>
        <w:t>3</w:t>
      </w:r>
      <w:r>
        <w:rPr>
          <w:color w:val="000000"/>
          <w:spacing w:val="-4"/>
          <w:szCs w:val="24"/>
          <w:lang w:eastAsia="lt-LT"/>
        </w:rPr>
        <w:t>.</w:t>
      </w:r>
      <w:r>
        <w:rPr>
          <w:color w:val="000000"/>
          <w:spacing w:val="-4"/>
          <w:szCs w:val="24"/>
          <w:lang w:eastAsia="lt-LT"/>
        </w:rPr>
        <w:tab/>
        <w:t>Šiame Apraše vartojamos sąvokos suprantamos taip, kaip jos apibrėžtos Lietuvos Respublikos asmens duomenų teisinės apsaugos įstatyme, Lietuvos Respublikos elektroninių ryšių įstatyme ir Lietuvos Respu</w:t>
      </w:r>
      <w:r>
        <w:rPr>
          <w:color w:val="000000"/>
          <w:spacing w:val="-4"/>
          <w:szCs w:val="24"/>
          <w:lang w:eastAsia="lt-LT"/>
        </w:rPr>
        <w:t>blikos kibernetinio saugumo įstatyme.</w:t>
      </w:r>
    </w:p>
    <w:p w14:paraId="3BF5280D" w14:textId="03A0EF53" w:rsidR="004D747F" w:rsidRDefault="00087E15">
      <w:pPr>
        <w:tabs>
          <w:tab w:val="left" w:pos="993"/>
        </w:tabs>
        <w:ind w:right="142" w:firstLine="851"/>
        <w:jc w:val="both"/>
        <w:textAlignment w:val="center"/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szCs w:val="24"/>
        </w:rPr>
        <w:t>Kibernetinio incidento, susijusio su asmens duomenų saugumo pažeidimu, (toliau – kibernetinis incidentas) atveju viešojo administravimo subjektas, valdantis valstybės informacinius išteklius, ypatingos svarbos i</w:t>
      </w:r>
      <w:r>
        <w:rPr>
          <w:szCs w:val="24"/>
        </w:rPr>
        <w:t>nformacinės infrastruktūros valdytojas, elektroninės informacijos prieglobos paslaugų teikėjas privalo</w:t>
      </w:r>
      <w:r>
        <w:rPr>
          <w:color w:val="000000"/>
          <w:szCs w:val="24"/>
          <w:lang w:eastAsia="lt-LT"/>
        </w:rPr>
        <w:t xml:space="preserve"> nedelsdamas, bet ne vėliau kaip per 3 darbo dienas nuo dienos, kurią nustatė kibernetinį incidentą, pateikti Inspekcijai pranešimą, kuriame turi būti nur</w:t>
      </w:r>
      <w:r>
        <w:rPr>
          <w:color w:val="000000"/>
          <w:szCs w:val="24"/>
          <w:lang w:eastAsia="lt-LT"/>
        </w:rPr>
        <w:t>odyta</w:t>
      </w:r>
      <w:r>
        <w:rPr>
          <w:szCs w:val="24"/>
        </w:rPr>
        <w:t>:</w:t>
      </w:r>
    </w:p>
    <w:p w14:paraId="470E5C34" w14:textId="1AE482E6" w:rsidR="004D747F" w:rsidRDefault="00087E15">
      <w:pPr>
        <w:tabs>
          <w:tab w:val="left" w:pos="1276"/>
        </w:tabs>
        <w:ind w:right="142" w:firstLine="851"/>
        <w:jc w:val="both"/>
        <w:textAlignment w:val="center"/>
      </w:pPr>
      <w:r>
        <w:rPr>
          <w:rFonts w:eastAsia="Calibri"/>
          <w:color w:val="000000"/>
          <w:szCs w:val="24"/>
        </w:rPr>
        <w:t>4.1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szCs w:val="24"/>
        </w:rPr>
        <w:t>viešojo administravimo subjekto, valdančio valstybės informacinius išteklius, ypatingos svarbos informacinės infrastruktūros valdytojo, elektroninės informacijos prieglobos paslaugų teikėjo</w:t>
      </w:r>
      <w:r>
        <w:rPr>
          <w:color w:val="000000"/>
          <w:spacing w:val="-4"/>
          <w:szCs w:val="24"/>
          <w:lang w:eastAsia="lt-LT"/>
        </w:rPr>
        <w:t xml:space="preserve"> pavadinimas, juridinio asmens kodas ir buveinė, kont</w:t>
      </w:r>
      <w:r>
        <w:rPr>
          <w:color w:val="000000"/>
          <w:spacing w:val="-4"/>
          <w:szCs w:val="24"/>
          <w:lang w:eastAsia="lt-LT"/>
        </w:rPr>
        <w:t>aktiniai duomenys: telefono ryšio numeris,</w:t>
      </w:r>
      <w:r>
        <w:rPr>
          <w:color w:val="000000"/>
          <w:szCs w:val="24"/>
          <w:lang w:eastAsia="lt-LT"/>
        </w:rPr>
        <w:t xml:space="preserve"> elektroninio pašto adresas</w:t>
      </w:r>
      <w:r>
        <w:rPr>
          <w:color w:val="000000"/>
          <w:spacing w:val="-4"/>
          <w:szCs w:val="24"/>
          <w:lang w:eastAsia="lt-LT"/>
        </w:rPr>
        <w:t>;</w:t>
      </w:r>
    </w:p>
    <w:p w14:paraId="0CF41CCC" w14:textId="644E8549" w:rsidR="004D747F" w:rsidRDefault="00087E15">
      <w:pPr>
        <w:tabs>
          <w:tab w:val="left" w:pos="1276"/>
        </w:tabs>
        <w:ind w:right="142" w:firstLine="851"/>
        <w:jc w:val="both"/>
        <w:textAlignment w:val="center"/>
      </w:pPr>
      <w:r>
        <w:rPr>
          <w:rFonts w:eastAsia="Calibri"/>
          <w:color w:val="000000"/>
          <w:szCs w:val="24"/>
        </w:rPr>
        <w:t>4.2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color w:val="000000"/>
          <w:szCs w:val="24"/>
          <w:lang w:eastAsia="lt-LT"/>
        </w:rPr>
        <w:t xml:space="preserve">kontaktinio asmens, iš kurio galima gauti daugiau informacijos apie kibernetinį incidentą, duomenys (vardas, pavardė, telefono ryšio numeris, fakso numeris, elektroninio pašto </w:t>
      </w:r>
      <w:r>
        <w:rPr>
          <w:color w:val="000000"/>
          <w:szCs w:val="24"/>
          <w:lang w:eastAsia="lt-LT"/>
        </w:rPr>
        <w:t>adresas);</w:t>
      </w:r>
    </w:p>
    <w:p w14:paraId="0C0172CA" w14:textId="3B56E61B" w:rsidR="004D747F" w:rsidRDefault="00087E15">
      <w:pPr>
        <w:tabs>
          <w:tab w:val="left" w:pos="1276"/>
        </w:tabs>
        <w:ind w:right="142" w:firstLine="851"/>
        <w:jc w:val="both"/>
        <w:textAlignment w:val="center"/>
        <w:rPr>
          <w:szCs w:val="24"/>
        </w:rPr>
      </w:pPr>
      <w:r>
        <w:rPr>
          <w:rFonts w:eastAsia="Calibri"/>
          <w:color w:val="000000"/>
          <w:szCs w:val="24"/>
        </w:rPr>
        <w:t>4.3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color w:val="000000"/>
          <w:szCs w:val="24"/>
          <w:lang w:eastAsia="lt-LT"/>
        </w:rPr>
        <w:t>kibernetinio incidento apibūdinimas:</w:t>
      </w:r>
    </w:p>
    <w:p w14:paraId="2E9D5719" w14:textId="20E51C92" w:rsidR="004D747F" w:rsidRDefault="00087E15">
      <w:pPr>
        <w:tabs>
          <w:tab w:val="left" w:pos="1276"/>
          <w:tab w:val="left" w:pos="1560"/>
        </w:tabs>
        <w:ind w:left="1843" w:right="142" w:hanging="992"/>
        <w:jc w:val="both"/>
        <w:textAlignment w:val="center"/>
        <w:rPr>
          <w:szCs w:val="24"/>
        </w:rPr>
      </w:pPr>
      <w:r>
        <w:rPr>
          <w:rFonts w:eastAsia="Calibri"/>
          <w:color w:val="000000"/>
          <w:szCs w:val="24"/>
        </w:rPr>
        <w:t>4.3.1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color w:val="000000"/>
          <w:szCs w:val="24"/>
          <w:lang w:eastAsia="lt-LT"/>
        </w:rPr>
        <w:t>kibernetinio incidento data, laikas ir fizinė vieta;</w:t>
      </w:r>
    </w:p>
    <w:p w14:paraId="652317E5" w14:textId="21F9B18E" w:rsidR="004D747F" w:rsidRDefault="00087E15">
      <w:pPr>
        <w:tabs>
          <w:tab w:val="left" w:pos="1276"/>
          <w:tab w:val="left" w:pos="1560"/>
        </w:tabs>
        <w:ind w:left="1843" w:right="142" w:hanging="992"/>
        <w:jc w:val="both"/>
        <w:textAlignment w:val="center"/>
        <w:rPr>
          <w:szCs w:val="24"/>
        </w:rPr>
      </w:pPr>
      <w:r>
        <w:rPr>
          <w:rFonts w:eastAsia="Calibri"/>
          <w:color w:val="000000"/>
          <w:szCs w:val="24"/>
        </w:rPr>
        <w:t>4.3.2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color w:val="000000"/>
          <w:szCs w:val="24"/>
          <w:lang w:eastAsia="lt-LT"/>
        </w:rPr>
        <w:t>kibernetinio incidento aplinkybės, priežastys, pasekmės;</w:t>
      </w:r>
    </w:p>
    <w:p w14:paraId="0E58A6C7" w14:textId="4FA50D95" w:rsidR="004D747F" w:rsidRDefault="00087E15">
      <w:pPr>
        <w:tabs>
          <w:tab w:val="left" w:pos="1276"/>
          <w:tab w:val="left" w:pos="1560"/>
        </w:tabs>
        <w:ind w:left="1843" w:right="142" w:hanging="992"/>
        <w:jc w:val="both"/>
        <w:textAlignment w:val="center"/>
        <w:rPr>
          <w:szCs w:val="24"/>
        </w:rPr>
      </w:pPr>
      <w:r>
        <w:rPr>
          <w:rFonts w:eastAsia="Calibri"/>
          <w:color w:val="000000"/>
          <w:szCs w:val="24"/>
        </w:rPr>
        <w:t>4.3.3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szCs w:val="24"/>
        </w:rPr>
        <w:t xml:space="preserve">taikytos </w:t>
      </w:r>
      <w:r>
        <w:rPr>
          <w:szCs w:val="24"/>
          <w:lang w:eastAsia="lt-LT"/>
        </w:rPr>
        <w:t xml:space="preserve">kibernetinio </w:t>
      </w:r>
      <w:r>
        <w:rPr>
          <w:szCs w:val="24"/>
        </w:rPr>
        <w:t>incidento valdymo priemonės</w:t>
      </w:r>
      <w:r>
        <w:rPr>
          <w:szCs w:val="24"/>
          <w:lang w:eastAsia="lt-LT"/>
        </w:rPr>
        <w:t>.</w:t>
      </w:r>
    </w:p>
    <w:p w14:paraId="7A02DA0F" w14:textId="78E03201" w:rsidR="004D747F" w:rsidRDefault="00087E15">
      <w:pPr>
        <w:tabs>
          <w:tab w:val="left" w:pos="1276"/>
        </w:tabs>
        <w:ind w:right="142" w:firstLine="851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</w:r>
      <w:r>
        <w:rPr>
          <w:szCs w:val="24"/>
        </w:rPr>
        <w:t>Viešojo administravimo subjektai, valdantys valstybės informacinius išteklius, ypatingos svarbos informacinės infrastruktūros valdytojai, viešųjų ryšių tinklų ir (arba) viešųjų elektroninių ryšių paslaugų teikėjai, elektroninės informacijos prieglobos p</w:t>
      </w:r>
      <w:r>
        <w:rPr>
          <w:szCs w:val="24"/>
        </w:rPr>
        <w:t xml:space="preserve">aslaugų teikėjai gali pateikti Inspekcijai, jų nuomone, ir </w:t>
      </w:r>
      <w:r>
        <w:rPr>
          <w:color w:val="000000"/>
          <w:szCs w:val="24"/>
          <w:lang w:eastAsia="lt-LT"/>
        </w:rPr>
        <w:t>kitą reikšmingą informaciją, susijusią su kibernetiniu incidentu.</w:t>
      </w:r>
    </w:p>
    <w:p w14:paraId="5A747360" w14:textId="6265CC67" w:rsidR="004D747F" w:rsidRDefault="00087E15">
      <w:pPr>
        <w:tabs>
          <w:tab w:val="left" w:pos="993"/>
        </w:tabs>
        <w:ind w:right="142" w:firstLine="851"/>
        <w:jc w:val="both"/>
        <w:textAlignment w:val="center"/>
        <w:rPr>
          <w:color w:val="000000"/>
          <w:spacing w:val="-4"/>
          <w:szCs w:val="24"/>
          <w:lang w:eastAsia="lt-LT"/>
        </w:rPr>
      </w:pPr>
      <w:r>
        <w:rPr>
          <w:color w:val="000000"/>
          <w:spacing w:val="-4"/>
          <w:szCs w:val="24"/>
          <w:lang w:eastAsia="lt-LT"/>
        </w:rPr>
        <w:t>6</w:t>
      </w:r>
      <w:r>
        <w:rPr>
          <w:color w:val="000000"/>
          <w:spacing w:val="-4"/>
          <w:szCs w:val="24"/>
          <w:lang w:eastAsia="lt-LT"/>
        </w:rPr>
        <w:t>.</w:t>
      </w:r>
      <w:r>
        <w:rPr>
          <w:color w:val="000000"/>
          <w:spacing w:val="-4"/>
          <w:szCs w:val="24"/>
          <w:lang w:eastAsia="lt-LT"/>
        </w:rPr>
        <w:tab/>
      </w:r>
      <w:r>
        <w:rPr>
          <w:szCs w:val="24"/>
        </w:rPr>
        <w:t xml:space="preserve">Viešųjų ryšių tinklų ir (arba) viešųjų elektroninių ryšių paslaugų teikėjas </w:t>
      </w:r>
      <w:r>
        <w:rPr>
          <w:color w:val="000000"/>
          <w:szCs w:val="24"/>
          <w:lang w:eastAsia="lt-LT"/>
        </w:rPr>
        <w:t xml:space="preserve">privalo pateikti Inspekcijai pranešimą </w:t>
      </w:r>
      <w:r>
        <w:rPr>
          <w:szCs w:val="24"/>
        </w:rPr>
        <w:t>Reglament</w:t>
      </w:r>
      <w:r>
        <w:rPr>
          <w:szCs w:val="24"/>
        </w:rPr>
        <w:t xml:space="preserve">o (ES) Nr. 611/2013 nustatytais terminais ir tvarka </w:t>
      </w:r>
      <w:r>
        <w:rPr>
          <w:szCs w:val="24"/>
        </w:rPr>
        <w:lastRenderedPageBreak/>
        <w:t>pagal jo 1 priedą nurodydamas, kad teikiamas pranešimas apie kibernetinį incidentą ir papildomai pateikdamas Aprašo 4.2 – 4.3 papunkčiuose nurodytą informaciją.</w:t>
      </w:r>
    </w:p>
    <w:p w14:paraId="407B025E" w14:textId="260FD93F" w:rsidR="004D747F" w:rsidRDefault="00087E15">
      <w:pPr>
        <w:tabs>
          <w:tab w:val="left" w:pos="993"/>
        </w:tabs>
        <w:ind w:right="142" w:firstLine="851"/>
        <w:jc w:val="both"/>
        <w:textAlignment w:val="center"/>
      </w:pPr>
      <w:r>
        <w:rPr>
          <w:rFonts w:eastAsia="Calibri"/>
          <w:szCs w:val="24"/>
        </w:rPr>
        <w:t>7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color w:val="000000"/>
          <w:spacing w:val="-2"/>
          <w:szCs w:val="24"/>
          <w:lang w:eastAsia="lt-LT"/>
        </w:rPr>
        <w:t>Pranešimas Inspekcijai teikiamas per</w:t>
      </w:r>
      <w:r>
        <w:rPr>
          <w:color w:val="000000"/>
          <w:spacing w:val="-2"/>
          <w:szCs w:val="24"/>
          <w:lang w:eastAsia="lt-LT"/>
        </w:rPr>
        <w:t xml:space="preserve"> Inspekcijos interneto svetainę </w:t>
      </w:r>
      <w:r>
        <w:rPr>
          <w:color w:val="0000FF"/>
          <w:spacing w:val="-2"/>
          <w:szCs w:val="24"/>
          <w:u w:val="single"/>
          <w:lang w:eastAsia="lt-LT"/>
        </w:rPr>
        <w:t>www.ada.lt</w:t>
      </w:r>
      <w:r>
        <w:rPr>
          <w:color w:val="000000"/>
          <w:spacing w:val="-2"/>
          <w:szCs w:val="24"/>
          <w:lang w:eastAsia="lt-LT"/>
        </w:rPr>
        <w:t xml:space="preserve"> n</w:t>
      </w:r>
      <w:r>
        <w:rPr>
          <w:szCs w:val="24"/>
        </w:rPr>
        <w:t>audojantis elektronine paslaugų sistema; nesant tokios galimybės</w:t>
      </w:r>
      <w:r>
        <w:rPr>
          <w:color w:val="000000"/>
          <w:szCs w:val="24"/>
        </w:rPr>
        <w:t xml:space="preserve">, pranešimas teikiamas elektroninio pašto adresu </w:t>
      </w:r>
      <w:r>
        <w:rPr>
          <w:color w:val="0000FF"/>
          <w:szCs w:val="24"/>
          <w:u w:val="single"/>
        </w:rPr>
        <w:t>ada@ada.lt</w:t>
      </w:r>
      <w:r>
        <w:rPr>
          <w:szCs w:val="24"/>
        </w:rPr>
        <w:t xml:space="preserve">; nesant tokių galimybių, Inspekcija informuojama telefono ryšio numeriu (8 5) 271 2804 arba </w:t>
      </w:r>
      <w:r>
        <w:rPr>
          <w:color w:val="000000"/>
          <w:spacing w:val="-2"/>
          <w:szCs w:val="24"/>
          <w:lang w:eastAsia="lt-LT"/>
        </w:rPr>
        <w:t xml:space="preserve">faksu </w:t>
      </w:r>
      <w:r>
        <w:rPr>
          <w:szCs w:val="24"/>
        </w:rPr>
        <w:t>(8 5) 261 9494</w:t>
      </w:r>
      <w:r>
        <w:rPr>
          <w:color w:val="000000"/>
          <w:spacing w:val="-2"/>
          <w:szCs w:val="24"/>
          <w:lang w:eastAsia="lt-LT"/>
        </w:rPr>
        <w:t>.</w:t>
      </w:r>
    </w:p>
    <w:p w14:paraId="4A16977B" w14:textId="6B415A6C" w:rsidR="004D747F" w:rsidRDefault="00087E15">
      <w:pPr>
        <w:tabs>
          <w:tab w:val="left" w:pos="1276"/>
        </w:tabs>
        <w:ind w:right="142" w:firstLine="851"/>
        <w:jc w:val="both"/>
        <w:textAlignment w:val="center"/>
      </w:pPr>
      <w:r>
        <w:rPr>
          <w:rFonts w:eastAsia="Calibri"/>
          <w:szCs w:val="24"/>
        </w:rPr>
        <w:t>8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color w:val="000000"/>
          <w:spacing w:val="-4"/>
          <w:szCs w:val="24"/>
          <w:lang w:eastAsia="lt-LT"/>
        </w:rPr>
        <w:t>Inspekcija, nustačiusi, kad v</w:t>
      </w:r>
      <w:r>
        <w:rPr>
          <w:szCs w:val="24"/>
        </w:rPr>
        <w:t>iešojo administravimo subjekto, valdančio valstybės informacinius išteklius, ypatingos svarbos informacin</w:t>
      </w:r>
      <w:r>
        <w:rPr>
          <w:szCs w:val="24"/>
        </w:rPr>
        <w:t>ės infrastruktūros valdytojo, viešųjų ryšių tinklų ir (arba) viešųjų elektroninių ryšių paslaugų teikėjo, elektroninės informacijos prieglobos paslaugų teikėjo</w:t>
      </w:r>
      <w:r>
        <w:rPr>
          <w:color w:val="000000"/>
          <w:spacing w:val="-4"/>
          <w:szCs w:val="24"/>
          <w:lang w:eastAsia="lt-LT"/>
        </w:rPr>
        <w:t xml:space="preserve"> pranešime pateikta ne visa Aprašo 4 punkte nurodyta informacija arba pateikta netiksli ar neišsa</w:t>
      </w:r>
      <w:r>
        <w:rPr>
          <w:color w:val="000000"/>
          <w:spacing w:val="-4"/>
          <w:szCs w:val="24"/>
          <w:lang w:eastAsia="lt-LT"/>
        </w:rPr>
        <w:t>mi informacija, per 2 darbo dienas nuo pranešimo gavimo dienos informuoja apie tai v</w:t>
      </w:r>
      <w:r>
        <w:rPr>
          <w:szCs w:val="24"/>
        </w:rPr>
        <w:t>iešojo administravimo subjektą, valdantį valstybės informacinius išteklius, ypatingos svarbos informacinės infrastruktūros valdytoją, viešųjų ryšių tinklų ir (arba) viešųjų</w:t>
      </w:r>
      <w:r>
        <w:rPr>
          <w:szCs w:val="24"/>
        </w:rPr>
        <w:t xml:space="preserve"> elektroninių ryšių paslaugų teikėją, elektroninės informacijos prieglobos paslaugų teikėją</w:t>
      </w:r>
      <w:r>
        <w:rPr>
          <w:color w:val="000000"/>
          <w:spacing w:val="-4"/>
          <w:szCs w:val="24"/>
          <w:lang w:eastAsia="lt-LT"/>
        </w:rPr>
        <w:t xml:space="preserve"> ir paprašo ne vėliau kaip kitą darbo dieną nuo prašymo pateikimo dienos pranešimą papildyti, patikslinti ir (ar) ištaisyti.</w:t>
      </w:r>
    </w:p>
    <w:p w14:paraId="5FBE2086" w14:textId="271F769C" w:rsidR="004D747F" w:rsidRDefault="00087E15">
      <w:pPr>
        <w:tabs>
          <w:tab w:val="left" w:pos="1276"/>
        </w:tabs>
        <w:ind w:right="142" w:firstLine="851"/>
        <w:jc w:val="both"/>
        <w:textAlignment w:val="center"/>
        <w:rPr>
          <w:szCs w:val="24"/>
        </w:rPr>
      </w:pPr>
      <w:r>
        <w:rPr>
          <w:rFonts w:eastAsia="Calibri"/>
          <w:szCs w:val="24"/>
        </w:rPr>
        <w:t>9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color w:val="000000"/>
          <w:spacing w:val="-4"/>
          <w:szCs w:val="24"/>
          <w:lang w:eastAsia="lt-LT"/>
        </w:rPr>
        <w:t>Inspekcija, įvertinusi gautą info</w:t>
      </w:r>
      <w:r>
        <w:rPr>
          <w:color w:val="000000"/>
          <w:spacing w:val="-4"/>
          <w:szCs w:val="24"/>
          <w:lang w:eastAsia="lt-LT"/>
        </w:rPr>
        <w:t>rmaciją</w:t>
      </w:r>
      <w:r>
        <w:rPr>
          <w:szCs w:val="24"/>
        </w:rPr>
        <w:t xml:space="preserve">, </w:t>
      </w:r>
      <w:r>
        <w:rPr>
          <w:color w:val="000000"/>
          <w:spacing w:val="-4"/>
          <w:szCs w:val="24"/>
          <w:lang w:eastAsia="lt-LT"/>
        </w:rPr>
        <w:t xml:space="preserve">gali </w:t>
      </w:r>
      <w:r>
        <w:rPr>
          <w:szCs w:val="24"/>
        </w:rPr>
        <w:t>patikrinti asmens duomenų tvarkymo teisėtumą ir priimti sprendimus dėl asmens duomenų tvarkymo pažeidimų kibernetinėje erdvėje bei viešojo administravimo subjektams, valdantiems valstybės informacinius išteklius, ypatingos svarbos informacinė</w:t>
      </w:r>
      <w:r>
        <w:rPr>
          <w:szCs w:val="24"/>
        </w:rPr>
        <w:t>s infrastruktūros valdytojams, viešųjų ryšių tinklų ir (arba) viešųjų elektroninių ryšių paslaugų teikėjams, elektroninės informacijos prieglobos paslaugų teikėjams teikti rekomendacijas, duoti nurodymus dėl asmens duomenų apsaugos ir asmens duomenų tvarky</w:t>
      </w:r>
      <w:r>
        <w:rPr>
          <w:szCs w:val="24"/>
        </w:rPr>
        <w:t>mo ir privatumo apsaugos elektroninių ryšių sektoriuje, taikyti kitas įstatymuose numatytas poveikio priemones.</w:t>
      </w:r>
    </w:p>
    <w:p w14:paraId="1BF2A287" w14:textId="10C3CD61" w:rsidR="004D747F" w:rsidRDefault="00087E15">
      <w:pPr>
        <w:tabs>
          <w:tab w:val="left" w:pos="1276"/>
        </w:tabs>
        <w:ind w:right="142" w:firstLine="851"/>
        <w:jc w:val="both"/>
        <w:textAlignment w:val="center"/>
      </w:pPr>
      <w:r>
        <w:rPr>
          <w:rFonts w:eastAsia="Calibri"/>
          <w:szCs w:val="24"/>
        </w:rPr>
        <w:t>10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color w:val="000000"/>
          <w:spacing w:val="-4"/>
          <w:szCs w:val="24"/>
          <w:lang w:eastAsia="lt-LT"/>
        </w:rPr>
        <w:t>V</w:t>
      </w:r>
      <w:r>
        <w:rPr>
          <w:szCs w:val="24"/>
        </w:rPr>
        <w:t>iešojo administravimo subjektas, valdantis valstybės informacinius išteklius, ypatingos svarbos informacinės infrastruktūros valdytojas</w:t>
      </w:r>
      <w:r>
        <w:rPr>
          <w:szCs w:val="24"/>
        </w:rPr>
        <w:t xml:space="preserve">, viešųjų ryšių tinklų ir (arba) viešųjų elektroninių ryšių paslaugų teikėjas, elektroninės informacijos prieglobos paslaugų teikėjas </w:t>
      </w:r>
      <w:r>
        <w:rPr>
          <w:color w:val="000000"/>
          <w:szCs w:val="24"/>
          <w:lang w:eastAsia="lt-LT"/>
        </w:rPr>
        <w:t>per Apraše nurodytus terminus nepateikęs pranešimo atsako įstatymų nustatyta tvarka.</w:t>
      </w:r>
    </w:p>
    <w:p w14:paraId="4651D375" w14:textId="77777777" w:rsidR="004D747F" w:rsidRDefault="00087E15">
      <w:pPr>
        <w:tabs>
          <w:tab w:val="center" w:pos="4153"/>
          <w:tab w:val="left" w:pos="5670"/>
          <w:tab w:val="right" w:pos="8306"/>
        </w:tabs>
        <w:jc w:val="center"/>
        <w:rPr>
          <w:szCs w:val="24"/>
        </w:rPr>
      </w:pPr>
      <w:r>
        <w:rPr>
          <w:color w:val="000000"/>
          <w:szCs w:val="24"/>
          <w:lang w:eastAsia="lt-LT"/>
        </w:rPr>
        <w:t>__________________</w:t>
      </w:r>
    </w:p>
    <w:p w14:paraId="1B35F831" w14:textId="77777777" w:rsidR="004D747F" w:rsidRDefault="00087E15">
      <w:pPr>
        <w:suppressAutoHyphens/>
        <w:textAlignment w:val="center"/>
        <w:rPr>
          <w:rFonts w:eastAsia="Calibri"/>
          <w:szCs w:val="24"/>
        </w:rPr>
      </w:pPr>
    </w:p>
    <w:sectPr w:rsidR="004D747F">
      <w:headerReference w:type="default" r:id="rId9"/>
      <w:pgSz w:w="11906" w:h="16838"/>
      <w:pgMar w:top="1134" w:right="707" w:bottom="1350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400E6" w14:textId="77777777" w:rsidR="004D747F" w:rsidRDefault="00087E15">
      <w:pPr>
        <w:suppressAutoHyphens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776400E7" w14:textId="77777777" w:rsidR="004D747F" w:rsidRDefault="00087E15">
      <w:pPr>
        <w:suppressAutoHyphens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400E4" w14:textId="77777777" w:rsidR="004D747F" w:rsidRDefault="00087E15">
      <w:pPr>
        <w:suppressAutoHyphens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separator/>
      </w:r>
    </w:p>
  </w:footnote>
  <w:footnote w:type="continuationSeparator" w:id="0">
    <w:p w14:paraId="776400E5" w14:textId="77777777" w:rsidR="004D747F" w:rsidRDefault="00087E15">
      <w:pPr>
        <w:suppressAutoHyphens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00E8" w14:textId="77777777" w:rsidR="004D747F" w:rsidRDefault="004D747F">
    <w:pPr>
      <w:tabs>
        <w:tab w:val="center" w:pos="4153"/>
        <w:tab w:val="right" w:pos="8306"/>
      </w:tabs>
      <w:suppressAutoHyphens/>
      <w:jc w:val="right"/>
      <w:textAlignment w:val="baseline"/>
      <w:rPr>
        <w:b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A5"/>
    <w:rsid w:val="00087E15"/>
    <w:rsid w:val="004D747F"/>
    <w:rsid w:val="00B61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0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4477</Words>
  <Characters>2553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2015-02-25T14:07:00Z</dcterms:created>
  <dc:creator>Valstybinė duomenų apsaugos Inspekcija</dc:creator>
  <lastModifiedBy>LAUKIONYTĖ Irena</lastModifiedBy>
  <lastPrinted>2015-02-24T09:11:00Z</lastPrinted>
  <dcterms:modified xsi:type="dcterms:W3CDTF">2015-02-25T14:29:00Z</dcterms:modified>
  <revision>3</revision>
</coreProperties>
</file>