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60db51dca3cb4f738cb79dfd8357fb21"/>
        <w:id w:val="966243232"/>
        <w:lock w:val="sdtLocked"/>
      </w:sdtPr>
      <w:sdtEndPr/>
      <w:sdtContent>
        <w:p w14:paraId="67BDF7E5" w14:textId="77777777" w:rsidR="00DB7BAE" w:rsidRDefault="000B4EB6">
          <w:pPr>
            <w:jc w:val="center"/>
            <w:rPr>
              <w:b/>
              <w:caps/>
              <w:szCs w:val="24"/>
              <w:lang w:eastAsia="lt-LT"/>
            </w:rPr>
          </w:pPr>
          <w:r>
            <w:rPr>
              <w:b/>
              <w:caps/>
              <w:szCs w:val="24"/>
              <w:lang w:eastAsia="lt-LT"/>
            </w:rPr>
            <w:t>Valstybės sienos apsaugos tarnybos prie lietuvos respublikos vidaus reikalų ministerijos VADAS</w:t>
          </w:r>
        </w:p>
        <w:p w14:paraId="67BDF7E6" w14:textId="77777777" w:rsidR="00DB7BAE" w:rsidRDefault="00DB7BAE">
          <w:pPr>
            <w:jc w:val="center"/>
            <w:rPr>
              <w:b/>
              <w:caps/>
              <w:szCs w:val="24"/>
              <w:lang w:eastAsia="lt-LT"/>
            </w:rPr>
          </w:pPr>
        </w:p>
        <w:p w14:paraId="67BDF7E7" w14:textId="77777777" w:rsidR="00DB7BAE" w:rsidRDefault="000B4EB6">
          <w:pPr>
            <w:jc w:val="center"/>
            <w:rPr>
              <w:b/>
              <w:caps/>
              <w:szCs w:val="24"/>
              <w:lang w:eastAsia="lt-LT"/>
            </w:rPr>
          </w:pPr>
          <w:r>
            <w:rPr>
              <w:b/>
              <w:caps/>
              <w:szCs w:val="24"/>
              <w:lang w:eastAsia="lt-LT"/>
            </w:rPr>
            <w:t>MUITINĖS DEPARTAMENTO PRIE LIETUVOS RESPUBLIKOS FINANSŲ MINISTERIJOS GENERALINIS DIREKTORIUS</w:t>
          </w:r>
        </w:p>
        <w:p w14:paraId="67BDF7E8" w14:textId="77777777" w:rsidR="00DB7BAE" w:rsidRDefault="00DB7BAE">
          <w:pPr>
            <w:rPr>
              <w:b/>
              <w:caps/>
              <w:szCs w:val="24"/>
              <w:lang w:eastAsia="lt-LT"/>
            </w:rPr>
          </w:pPr>
        </w:p>
        <w:p w14:paraId="67BDF7E9" w14:textId="77777777" w:rsidR="00DB7BAE" w:rsidRDefault="000B4EB6">
          <w:pPr>
            <w:jc w:val="center"/>
            <w:rPr>
              <w:b/>
              <w:caps/>
              <w:szCs w:val="24"/>
              <w:lang w:eastAsia="lt-LT"/>
            </w:rPr>
          </w:pPr>
          <w:r>
            <w:rPr>
              <w:b/>
              <w:caps/>
              <w:szCs w:val="24"/>
              <w:lang w:eastAsia="lt-LT"/>
            </w:rPr>
            <w:t>akcinės bendrovės „lietuvos geležinkeliai“</w:t>
          </w:r>
        </w:p>
        <w:p w14:paraId="67BDF7EA" w14:textId="77777777" w:rsidR="00DB7BAE" w:rsidRDefault="000B4EB6">
          <w:pPr>
            <w:jc w:val="center"/>
            <w:rPr>
              <w:b/>
              <w:caps/>
              <w:szCs w:val="24"/>
              <w:lang w:eastAsia="lt-LT"/>
            </w:rPr>
          </w:pPr>
          <w:r>
            <w:rPr>
              <w:b/>
              <w:caps/>
              <w:szCs w:val="24"/>
              <w:lang w:eastAsia="lt-LT"/>
            </w:rPr>
            <w:t xml:space="preserve">GENERALINIS </w:t>
          </w:r>
          <w:r>
            <w:rPr>
              <w:b/>
              <w:caps/>
              <w:szCs w:val="24"/>
              <w:lang w:eastAsia="lt-LT"/>
            </w:rPr>
            <w:t>DIREKTORIUS</w:t>
          </w:r>
        </w:p>
        <w:p w14:paraId="67BDF7EB" w14:textId="77777777" w:rsidR="00DB7BAE" w:rsidRDefault="00DB7BAE">
          <w:pPr>
            <w:rPr>
              <w:b/>
              <w:caps/>
              <w:szCs w:val="24"/>
              <w:lang w:eastAsia="lt-LT"/>
            </w:rPr>
          </w:pPr>
        </w:p>
        <w:p w14:paraId="67BDF7EC" w14:textId="77777777" w:rsidR="00DB7BAE" w:rsidRDefault="00DB7BAE">
          <w:pPr>
            <w:rPr>
              <w:b/>
              <w:caps/>
              <w:szCs w:val="24"/>
              <w:lang w:eastAsia="lt-LT"/>
            </w:rPr>
          </w:pPr>
        </w:p>
        <w:p w14:paraId="67BDF7ED" w14:textId="77777777" w:rsidR="00DB7BAE" w:rsidRDefault="000B4EB6">
          <w:pPr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ĮSAKYMAS</w:t>
          </w:r>
        </w:p>
        <w:p w14:paraId="67BDF7EE" w14:textId="77777777" w:rsidR="00DB7BAE" w:rsidRDefault="000B4EB6">
          <w:pPr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DĖL VALSTYBĖS SIENOS APSAUGOS TARNYBOS PRIE LIETUVOS RESPUBLIKOS VIDAUS REIKALŲ MINISTERIJOS VADO, MUITINĖS DEPARTAMENTO PRIE LIETUVOS RESPUBLIKOS FINANSŲ MINISTERIJOS GENERALINIO DIREKTORIAUS IR AKCINĖS BENDROVĖS „LIETUVOS GELEŽINKE</w:t>
          </w:r>
          <w:r>
            <w:rPr>
              <w:b/>
              <w:szCs w:val="24"/>
              <w:lang w:eastAsia="lt-LT"/>
            </w:rPr>
            <w:t>LIAI“ GENERALINIO DIREKTORIAUS 2013 M. LIEPOS  3 D. ĮSAKYMO NR. 4-362/1B-441/Į-664 „DĖL VILNIAUS GELEŽINKELIO STOTIES PASIENIO KONTROLĖS PUNKTO DARBO NUOSTATŲ, TERITORIJOS SCHEMOS IR TECHNOLOGINĖS DARBO SCHEMOS TVIRTINIMO“ PAKEITIMO</w:t>
          </w:r>
        </w:p>
        <w:p w14:paraId="67BDF7EF" w14:textId="77777777" w:rsidR="00DB7BAE" w:rsidRDefault="00DB7BAE">
          <w:pPr>
            <w:rPr>
              <w:b/>
              <w:szCs w:val="24"/>
              <w:lang w:eastAsia="lt-LT"/>
            </w:rPr>
          </w:pPr>
        </w:p>
        <w:p w14:paraId="67BDF7F0" w14:textId="77777777" w:rsidR="00DB7BAE" w:rsidRDefault="00DB7BAE">
          <w:pPr>
            <w:jc w:val="center"/>
            <w:rPr>
              <w:szCs w:val="24"/>
              <w:lang w:eastAsia="lt-LT"/>
            </w:rPr>
          </w:pPr>
        </w:p>
        <w:p w14:paraId="67BDF7F1" w14:textId="77777777" w:rsidR="00DB7BAE" w:rsidRDefault="000B4EB6">
          <w:pPr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2014 m. birželio  6 d</w:t>
          </w:r>
          <w:r>
            <w:rPr>
              <w:szCs w:val="24"/>
              <w:lang w:eastAsia="lt-LT"/>
            </w:rPr>
            <w:t xml:space="preserve">. Nr. 4-187/1B-356/Į-558 </w:t>
          </w:r>
        </w:p>
        <w:p w14:paraId="67BDF7F2" w14:textId="77777777" w:rsidR="00DB7BAE" w:rsidRDefault="000B4EB6">
          <w:pPr>
            <w:jc w:val="center"/>
            <w:rPr>
              <w:sz w:val="26"/>
              <w:lang w:eastAsia="lt-LT"/>
            </w:rPr>
          </w:pPr>
          <w:r>
            <w:rPr>
              <w:szCs w:val="24"/>
              <w:lang w:eastAsia="lt-LT"/>
            </w:rPr>
            <w:t>Vilnius</w:t>
          </w:r>
        </w:p>
        <w:p w14:paraId="67BDF7F3" w14:textId="77777777" w:rsidR="00DB7BAE" w:rsidRDefault="00DB7BAE">
          <w:pPr>
            <w:keepNext/>
            <w:ind w:firstLine="900"/>
            <w:jc w:val="both"/>
            <w:rPr>
              <w:szCs w:val="24"/>
              <w:lang w:eastAsia="lt-LT"/>
            </w:rPr>
          </w:pPr>
        </w:p>
        <w:sdt>
          <w:sdtPr>
            <w:alias w:val="pastraipa"/>
            <w:tag w:val="part_a6346e05729b410192545b59c0c546d5"/>
            <w:id w:val="-1878008797"/>
            <w:lock w:val="sdtLocked"/>
          </w:sdtPr>
          <w:sdtEndPr/>
          <w:sdtContent>
            <w:p w14:paraId="67BDF7F4" w14:textId="77777777" w:rsidR="00DB7BAE" w:rsidRDefault="000B4EB6">
              <w:pPr>
                <w:keepNext/>
                <w:ind w:firstLine="90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Pakeičiame Valstybės sienos apsaugos tarnybos prie Lietuvos Respublikos vidaus reikalų ministerijos vado</w:t>
              </w:r>
              <w:r>
                <w:rPr>
                  <w:b/>
                  <w:szCs w:val="24"/>
                  <w:lang w:eastAsia="lt-LT"/>
                </w:rPr>
                <w:t xml:space="preserve">, </w:t>
              </w:r>
              <w:r>
                <w:rPr>
                  <w:szCs w:val="24"/>
                  <w:lang w:eastAsia="lt-LT"/>
                </w:rPr>
                <w:t xml:space="preserve">Muitinės departamento prie Lietuvos Respublikos finansų ministerijos generalinio direktoriaus ir akcinės bendrovės </w:t>
              </w:r>
              <w:r>
                <w:rPr>
                  <w:szCs w:val="24"/>
                  <w:lang w:eastAsia="lt-LT"/>
                </w:rPr>
                <w:t>„Lietuvos geležinkeliai“ generalinio direktoriaus 2013 m. liepos 3 d. įsakymą Nr. 4-362/1B-441/Į-664 „Dėl Vilniaus geležinkelio stoties pasienio kontrolės punkto darbo nuostatų, teritorijos schemos ir technologinės darbo schemos tvirtinimo“:</w:t>
              </w:r>
            </w:p>
          </w:sdtContent>
        </w:sdt>
        <w:sdt>
          <w:sdtPr>
            <w:alias w:val="1 p."/>
            <w:tag w:val="part_d5d02d045d1044ef80da2258780869a4"/>
            <w:id w:val="1888689240"/>
            <w:lock w:val="sdtLocked"/>
          </w:sdtPr>
          <w:sdtEndPr/>
          <w:sdtContent>
            <w:p w14:paraId="67BDF7F5" w14:textId="77777777" w:rsidR="00DB7BAE" w:rsidRDefault="000B4EB6">
              <w:pPr>
                <w:keepNext/>
                <w:ind w:firstLine="90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d5d02d045d1044ef80da2258780869a4"/>
                  <w:id w:val="-1605952252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szCs w:val="24"/>
                  <w:lang w:eastAsia="lt-LT"/>
                </w:rPr>
                <w:t>. Pakeiči</w:t>
              </w:r>
              <w:r>
                <w:rPr>
                  <w:szCs w:val="24"/>
                  <w:lang w:eastAsia="lt-LT"/>
                </w:rPr>
                <w:t>ame nurodytuoju įsakymu patvirtintą Vilniaus geležinkelio stoties pasienio kontrolės punkto technologinę darbo schemą ir ją išdėstome nauja redakcija (pridedama).</w:t>
              </w:r>
            </w:p>
          </w:sdtContent>
        </w:sdt>
        <w:sdt>
          <w:sdtPr>
            <w:alias w:val="2 p."/>
            <w:tag w:val="part_3d2c9367e93d4aefbe39f06ff4cc94b6"/>
            <w:id w:val="-1747951193"/>
            <w:lock w:val="sdtLocked"/>
            <w:placeholder>
              <w:docPart w:val="DefaultPlaceholder_1082065158"/>
            </w:placeholder>
          </w:sdtPr>
          <w:sdtContent>
            <w:p w14:paraId="67BDF7F6" w14:textId="31B6C676" w:rsidR="00DB7BAE" w:rsidRDefault="000B4EB6">
              <w:pPr>
                <w:keepNext/>
                <w:ind w:firstLine="90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3d2c9367e93d4aefbe39f06ff4cc94b6"/>
                  <w:id w:val="-1378997738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szCs w:val="24"/>
                  <w:lang w:eastAsia="lt-LT"/>
                </w:rPr>
                <w:t>. Pakeičiame nurodytuoju įsakymu patvirtintus Vilniaus geležinkelio stoties pasienio kon</w:t>
              </w:r>
              <w:r>
                <w:rPr>
                  <w:szCs w:val="24"/>
                  <w:lang w:eastAsia="lt-LT"/>
                </w:rPr>
                <w:t>trolės punkto darbo nuostatus:</w:t>
              </w:r>
            </w:p>
            <w:sdt>
              <w:sdtPr>
                <w:alias w:val="2.1 p."/>
                <w:tag w:val="part_d1400cbadc78433989fc3bc3fd3525d7"/>
                <w:id w:val="2097281688"/>
                <w:lock w:val="sdtLocked"/>
              </w:sdtPr>
              <w:sdtEndPr/>
              <w:sdtContent>
                <w:p w14:paraId="67BDF7F7" w14:textId="77777777" w:rsidR="00DB7BAE" w:rsidRDefault="000B4EB6">
                  <w:pPr>
                    <w:keepNext/>
                    <w:ind w:firstLine="900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1400cbadc78433989fc3bc3fd3525d7"/>
                      <w:id w:val="-87453858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2.1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papildome 6.5 papunkčiu:</w:t>
                  </w:r>
                </w:p>
                <w:sdt>
                  <w:sdtPr>
                    <w:alias w:val="citata"/>
                    <w:tag w:val="part_709abdb2b9d74138962efac00bcdc59d"/>
                    <w:id w:val="870031226"/>
                    <w:lock w:val="sdtLocked"/>
                  </w:sdtPr>
                  <w:sdtEndPr/>
                  <w:sdtContent>
                    <w:sdt>
                      <w:sdtPr>
                        <w:alias w:val="6.5 p."/>
                        <w:tag w:val="part_3e5d176d811e45ad9c989a4e8d4457fc"/>
                        <w:id w:val="-601026299"/>
                        <w:lock w:val="sdtLocked"/>
                      </w:sdtPr>
                      <w:sdtEndPr/>
                      <w:sdtContent>
                        <w:p w14:paraId="67BDF7F8" w14:textId="77777777" w:rsidR="00DB7BAE" w:rsidRDefault="000B4EB6">
                          <w:pPr>
                            <w:keepNext/>
                            <w:ind w:firstLine="851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3e5d176d811e45ad9c989a4e8d4457fc"/>
                              <w:id w:val="-146396024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6.5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>. Uždarosios akcinės bendrovės „Globus Trade LT“ darbuotojai, vykdantys mažmeninę prekybą Vilniaus GS PKP 5-ame perone įsteigtuose akcizais apmokestinamų prekių ir pridėtinės vertės mokes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čio lengvatų sandėliuose (toliau − Parduotuvė) “.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2.2 p."/>
                <w:tag w:val="part_13ff21900db2417ebae8cb19a78e3323"/>
                <w:id w:val="-1691523677"/>
                <w:lock w:val="sdtLocked"/>
                <w:placeholder>
                  <w:docPart w:val="DefaultPlaceholder_1082065158"/>
                </w:placeholder>
              </w:sdtPr>
              <w:sdtContent>
                <w:p w14:paraId="0183023B" w14:textId="77777777" w:rsidR="000B4EB6" w:rsidRDefault="000B4EB6">
                  <w:pPr>
                    <w:keepNext/>
                    <w:ind w:firstLine="851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3ff21900db2417ebae8cb19a78e3323"/>
                      <w:id w:val="29588017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2.2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pakeičiame 28 punktą ir jį išdėstome taip:</w:t>
                  </w:r>
                </w:p>
                <w:sdt>
                  <w:sdtPr>
                    <w:rPr>
                      <w:color w:val="000000"/>
                      <w:szCs w:val="24"/>
                      <w:lang w:eastAsia="lt-LT"/>
                    </w:rPr>
                    <w:alias w:val="citata"/>
                    <w:tag w:val="part_738e20de2e7449d69c4e9762214a1dc9"/>
                    <w:id w:val="-126010987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color w:val="auto"/>
                      <w:szCs w:val="20"/>
                      <w:lang w:eastAsia="en-US"/>
                    </w:rPr>
                  </w:sdtEndPr>
                  <w:sdtContent>
                    <w:sdt>
                      <w:sdtPr>
                        <w:alias w:val="28 p."/>
                        <w:tag w:val="part_eb8b30ad390945e582567e6a37a444e4"/>
                        <w:id w:val="-1494475853"/>
                        <w:lock w:val="sdtLocked"/>
                      </w:sdtPr>
                      <w:sdtEndPr/>
                      <w:sdtContent>
                        <w:p w14:paraId="67BDF7FA" w14:textId="19F94117" w:rsidR="00DB7BAE" w:rsidRDefault="000B4EB6">
                          <w:pPr>
                            <w:keepNext/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b8b30ad390945e582567e6a37a444e4"/>
                              <w:id w:val="216712986"/>
                              <w:lock w:val="sdtLocked"/>
                            </w:sdtPr>
                            <w:sdtEndPr/>
                            <w:sdtContent>
                              <w:r>
                                <w:t>„</w:t>
                              </w: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Apsaugos darbuotojai visą parą atlieka savo funkcijas Vilniaus GS PKP. Nuotolinį 5-ojo perono stebėjimą vykdo VSAT pareigūnai vaizdo stebėji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mo sistemos priemonėmis.“.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2.3 p."/>
            <w:tag w:val="part_512143dd41b64da8b85da9eabc3fb86e"/>
            <w:id w:val="1239743418"/>
            <w:lock w:val="sdtLocked"/>
            <w:placeholder>
              <w:docPart w:val="DefaultPlaceholder_1082065158"/>
            </w:placeholder>
          </w:sdtPr>
          <w:sdtContent>
            <w:p w14:paraId="093B440D" w14:textId="032E5EAA" w:rsidR="000B4EB6" w:rsidRDefault="000B4EB6" w:rsidP="000B4EB6">
              <w:pPr>
                <w:keepNext/>
                <w:ind w:firstLine="851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512143dd41b64da8b85da9eabc3fb86e"/>
                  <w:id w:val="-44992611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2.3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papildome VII</w:t>
              </w:r>
              <w:r>
                <w:rPr>
                  <w:color w:val="000000"/>
                  <w:szCs w:val="24"/>
                  <w:vertAlign w:val="superscript"/>
                  <w:lang w:eastAsia="lt-LT"/>
                </w:rPr>
                <w:t xml:space="preserve">1 </w:t>
              </w:r>
              <w:r>
                <w:rPr>
                  <w:color w:val="000000"/>
                  <w:szCs w:val="24"/>
                  <w:lang w:eastAsia="lt-LT"/>
                </w:rPr>
                <w:t>skyriumi:</w:t>
              </w:r>
            </w:p>
            <w:sdt>
              <w:sdtPr>
                <w:rPr>
                  <w:b/>
                  <w:szCs w:val="24"/>
                  <w:lang w:eastAsia="lt-LT"/>
                </w:rPr>
                <w:alias w:val="citata"/>
                <w:tag w:val="part_b0b38554eaaf41bfa976718d6615fd70"/>
                <w:id w:val="-89605057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b w:val="0"/>
                  <w:szCs w:val="20"/>
                  <w:lang w:eastAsia="en-US"/>
                </w:rPr>
              </w:sdtEndPr>
              <w:sdtContent>
                <w:bookmarkStart w:id="0" w:name="_GoBack" w:displacedByCustomXml="next"/>
                <w:bookmarkEnd w:id="0" w:displacedByCustomXml="next"/>
                <w:sdt>
                  <w:sdtPr>
                    <w:rPr>
                      <w:b/>
                      <w:szCs w:val="24"/>
                      <w:lang w:eastAsia="lt-LT"/>
                    </w:rPr>
                    <w:alias w:val="skirsnis"/>
                    <w:tag w:val="part_33227d1b8e26469faf8a93204afcd513"/>
                    <w:id w:val="1163592312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14:paraId="67BDF7FD" w14:textId="3862AABB" w:rsidR="00DB7BAE" w:rsidRDefault="000B4EB6" w:rsidP="000B4EB6">
                      <w:pPr>
                        <w:keepNext/>
                        <w:ind w:firstLine="851"/>
                        <w:jc w:val="both"/>
                        <w:rPr>
                          <w:b/>
                          <w:szCs w:val="24"/>
                          <w:lang w:eastAsia="lt-LT"/>
                        </w:rPr>
                      </w:pPr>
                      <w:r>
                        <w:rPr>
                          <w:b/>
                          <w:szCs w:val="24"/>
                          <w:lang w:eastAsia="lt-LT"/>
                        </w:rPr>
                        <w:t>„</w:t>
                      </w:r>
                      <w:sdt>
                        <w:sdtPr>
                          <w:alias w:val="Pavadinimas"/>
                          <w:tag w:val="title_33227d1b8e26469faf8a93204afcd513"/>
                          <w:id w:val="-521408575"/>
                          <w:lock w:val="sdtLocked"/>
                        </w:sdtPr>
                        <w:sdtEndPr/>
                        <w:sdtContent>
                          <w:r>
                            <w:rPr>
                              <w:b/>
                              <w:szCs w:val="24"/>
                              <w:lang w:eastAsia="lt-LT"/>
                            </w:rPr>
                            <w:t>VII¹. ŪKIO SUBJEKTŲ, TEIKIANČIŲ PASLAUGAS VILNIAUS GS PKP, PRIEŽIŪRA IR KONTROLĖ</w:t>
                          </w:r>
                        </w:sdtContent>
                      </w:sdt>
                    </w:p>
                    <w:p w14:paraId="67BDF7FE" w14:textId="57613FA8" w:rsidR="00DB7BAE" w:rsidRDefault="00DB7BAE">
                      <w:pPr>
                        <w:suppressAutoHyphens/>
                        <w:ind w:firstLine="567"/>
                        <w:jc w:val="both"/>
                        <w:rPr>
                          <w:rFonts w:eastAsia="Arial"/>
                          <w:szCs w:val="24"/>
                          <w:lang w:eastAsia="ar-SA"/>
                        </w:rPr>
                      </w:pPr>
                    </w:p>
                    <w:sdt>
                      <w:sdtPr>
                        <w:rPr>
                          <w:rFonts w:eastAsia="Arial"/>
                          <w:szCs w:val="24"/>
                          <w:lang w:eastAsia="ar-SA"/>
                        </w:rPr>
                        <w:alias w:val="46-1.1. p."/>
                        <w:tag w:val="part_1150d41ad09f426ba2b4b63678ae8969"/>
                        <w:id w:val="965018630"/>
                        <w:lock w:val="sdtLocked"/>
                        <w:placeholder>
                          <w:docPart w:val="DefaultPlaceholder_1082065158"/>
                        </w:placeholder>
                      </w:sdtPr>
                      <w:sdtContent>
                        <w:p w14:paraId="67BDF7FF" w14:textId="0FAE27E4" w:rsidR="00DB7BAE" w:rsidRDefault="000B4EB6">
                          <w:pPr>
                            <w:suppressAutoHyphens/>
                            <w:ind w:left="142" w:firstLine="709"/>
                            <w:jc w:val="both"/>
                            <w:rPr>
                              <w:rFonts w:eastAsia="Arial"/>
                              <w:szCs w:val="24"/>
                              <w:lang w:eastAsia="ar-SA"/>
                            </w:rPr>
                          </w:pPr>
                          <w:r>
                            <w:rPr>
                              <w:rFonts w:eastAsia="Arial"/>
                              <w:szCs w:val="24"/>
                              <w:lang w:eastAsia="ar-SA"/>
                            </w:rPr>
                            <w:t xml:space="preserve">46¹.1. Vilniaus GS PKP 5-ame perone įsteigta Parduotuvė, kurioje gali įsigyti prekių tik asmenys, </w:t>
                          </w:r>
                          <w:r>
                            <w:rPr>
                              <w:rFonts w:eastAsia="Arial"/>
                              <w:szCs w:val="24"/>
                              <w:lang w:eastAsia="ar-SA"/>
                            </w:rPr>
                            <w:t>išvykstantys iš Bendrijos muitų teritorijos.</w:t>
                          </w:r>
                        </w:p>
                      </w:sdtContent>
                    </w:sdt>
                    <w:sdt>
                      <w:sdtPr>
                        <w:rPr>
                          <w:szCs w:val="24"/>
                          <w:lang w:eastAsia="lt-LT"/>
                        </w:rPr>
                        <w:alias w:val="46-1.2. p."/>
                        <w:tag w:val="part_8b1f7166e1f243c79cae4d28584f83f3"/>
                        <w:id w:val="177238126"/>
                        <w:lock w:val="sdtLocked"/>
                        <w:placeholder>
                          <w:docPart w:val="DefaultPlaceholder_1082065158"/>
                        </w:placeholder>
                      </w:sdtPr>
                      <w:sdtContent>
                        <w:p w14:paraId="67BDF800" w14:textId="635E6DC9" w:rsidR="00DB7BAE" w:rsidRDefault="000B4EB6">
                          <w:pPr>
                            <w:ind w:firstLine="851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szCs w:val="24"/>
                              <w:lang w:eastAsia="lt-LT"/>
                            </w:rPr>
                            <w:t xml:space="preserve">46¹.2. VSAT pareigūnai, stebėdami peroną vaizdo kameromis, ir </w:t>
                          </w:r>
                          <w:r>
                            <w:rPr>
                              <w:rFonts w:eastAsia="Calibri"/>
                              <w:szCs w:val="24"/>
                            </w:rPr>
                            <w:t>UAB „Gelsauga“ darbuotojai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 xml:space="preserve">, vykdydami savo funkcijas Vilniaus GS PKP 5-ame perone, užtikrina, kad pašaliniai asmenys nepatektų į Parduotuvę. </w:t>
                          </w:r>
                        </w:p>
                      </w:sdtContent>
                    </w:sdt>
                    <w:sdt>
                      <w:sdtPr>
                        <w:rPr>
                          <w:szCs w:val="24"/>
                          <w:lang w:eastAsia="lt-LT"/>
                        </w:rPr>
                        <w:alias w:val="46-1.3. p."/>
                        <w:tag w:val="part_473994cb89ed403b86c1b47deae21ede"/>
                        <w:id w:val="1238902661"/>
                        <w:lock w:val="sdtLocked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rFonts w:eastAsia="Calibri"/>
                          <w:lang w:eastAsia="en-US"/>
                        </w:rPr>
                      </w:sdtEndPr>
                      <w:sdtContent>
                        <w:p w14:paraId="67BDF801" w14:textId="062FDE7A" w:rsidR="00DB7BAE" w:rsidRDefault="000B4EB6">
                          <w:pPr>
                            <w:ind w:firstLine="900"/>
                            <w:jc w:val="both"/>
                            <w:rPr>
                              <w:rFonts w:eastAsia="Calibri"/>
                              <w:szCs w:val="24"/>
                            </w:rPr>
                          </w:pPr>
                          <w:r>
                            <w:rPr>
                              <w:szCs w:val="24"/>
                              <w:lang w:eastAsia="lt-LT"/>
                            </w:rPr>
                            <w:t xml:space="preserve">46¹.3. 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 xml:space="preserve">Muitinės pareigūnai, atlikdami Parduotuvės muitinės priežiūrą ir kontrolę, vadovaujasi 2013 m. rugsėjo 5 d. Vilniaus teritorinės muitinės viršininko įsakymu Nr. 3V-126 </w:t>
                          </w:r>
                          <w:r>
                            <w:rPr>
                              <w:rFonts w:eastAsia="Lucida Sans Unicode"/>
                              <w:kern w:val="1"/>
                              <w:szCs w:val="24"/>
                              <w:lang w:eastAsia="lt-LT"/>
                            </w:rPr>
                            <w:t>„Dėl prekių, gabenamų į</w:t>
                          </w:r>
                          <w:r>
                            <w:rPr>
                              <w:rFonts w:eastAsia="Calibri"/>
                              <w:szCs w:val="24"/>
                            </w:rPr>
                            <w:t xml:space="preserve"> Vilniaus GS PKP veikiančius </w:t>
                          </w:r>
                          <w:r>
                            <w:rPr>
                              <w:rFonts w:eastAsia="Lucida Sans Unicode"/>
                              <w:kern w:val="1"/>
                              <w:szCs w:val="24"/>
                              <w:lang w:eastAsia="lt-LT"/>
                            </w:rPr>
                            <w:t>akcizais apmokestinamų prekių ir PVM</w:t>
                          </w:r>
                          <w:r>
                            <w:rPr>
                              <w:rFonts w:eastAsia="Lucida Sans Unicode"/>
                              <w:kern w:val="1"/>
                              <w:szCs w:val="24"/>
                              <w:lang w:eastAsia="lt-LT"/>
                            </w:rPr>
                            <w:t xml:space="preserve"> lengvatų sandėlius,</w:t>
                          </w:r>
                          <w:r>
                            <w:rPr>
                              <w:rFonts w:eastAsia="Calibri"/>
                              <w:szCs w:val="24"/>
                            </w:rPr>
                            <w:t xml:space="preserve"> priežiūros ir kontrolės“ patvirtinta tvarka. </w:t>
                          </w:r>
                        </w:p>
                      </w:sdtContent>
                    </w:sdt>
                    <w:sdt>
                      <w:sdtPr>
                        <w:rPr>
                          <w:rFonts w:eastAsia="Calibri"/>
                          <w:szCs w:val="24"/>
                        </w:rPr>
                        <w:alias w:val="46-1.4. p."/>
                        <w:tag w:val="part_bfbeb273347c4aa18e523788bc4f1d76"/>
                        <w:id w:val="261886693"/>
                        <w:lock w:val="sdtLocked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rFonts w:eastAsia="Times New Roman"/>
                          <w:lang w:eastAsia="lt-LT"/>
                        </w:rPr>
                      </w:sdtEndPr>
                      <w:sdtContent>
                        <w:p w14:paraId="67BDF802" w14:textId="44B9E681" w:rsidR="00DB7BAE" w:rsidRDefault="000B4EB6">
                          <w:pPr>
                            <w:ind w:firstLine="851"/>
                            <w:jc w:val="both"/>
                            <w:rPr>
                              <w:sz w:val="22"/>
                              <w:szCs w:val="22"/>
                              <w:lang w:eastAsia="lt-LT"/>
                            </w:rPr>
                          </w:pPr>
                          <w:r>
                            <w:rPr>
                              <w:rFonts w:eastAsia="Calibri"/>
                              <w:szCs w:val="24"/>
                            </w:rPr>
                            <w:t xml:space="preserve">46¹.4. 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Asmenų patekimo į Vilniaus GS PKP teritoriją, jų priežiūra ir kontrolė atliekama vadovaujantis 2013 m. lapkričio 15 d. AB „Lietuvos geležinkeliai“ generalinio direktoriaus pavaduotoj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o-Keleivių vežimo direkcijos direktoriaus įsakymu Nr. Į (DL)-251 „Dėl asmenų patekimo į saugomą Vilniaus geležinkelio stoties pasienio kontrolės punkto teritoriją“ patvirtinta tvarka.</w:t>
                          </w:r>
                        </w:p>
                      </w:sdtContent>
                    </w:sdt>
                    <w:sdt>
                      <w:sdtPr>
                        <w:rPr>
                          <w:rFonts w:eastAsia="Calibri"/>
                          <w:szCs w:val="24"/>
                        </w:rPr>
                        <w:alias w:val="46-1.5. p."/>
                        <w:tag w:val="part_9a83e935b73844f58e27fe2757195f3c"/>
                        <w:id w:val="-989322264"/>
                        <w:lock w:val="sdtLocked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rFonts w:eastAsia="Times New Roman"/>
                          <w:lang w:eastAsia="lt-LT"/>
                        </w:rPr>
                      </w:sdtEndPr>
                      <w:sdtContent>
                        <w:p w14:paraId="67BDF807" w14:textId="78563105" w:rsidR="00DB7BAE" w:rsidRDefault="000B4EB6" w:rsidP="000B4EB6">
                          <w:pPr>
                            <w:ind w:firstLine="90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rFonts w:eastAsia="Calibri"/>
                              <w:szCs w:val="24"/>
                            </w:rPr>
                            <w:t>46¹.5. Parduotuvę aptarnaujančių transporto priemonių ir asmenų judėjima</w:t>
                          </w:r>
                          <w:r>
                            <w:rPr>
                              <w:rFonts w:eastAsia="Calibri"/>
                              <w:szCs w:val="24"/>
                            </w:rPr>
                            <w:t>s Vilniaus GS PKP teritorijoje vyksta vadovaujantis „</w:t>
                          </w:r>
                          <w:r>
                            <w:rPr>
                              <w:rFonts w:eastAsia="Lucida Sans Unicode"/>
                              <w:kern w:val="1"/>
                              <w:szCs w:val="24"/>
                              <w:lang w:eastAsia="lt-LT"/>
                            </w:rPr>
                            <w:t xml:space="preserve">Prekių judėjimo ir keleivių patekimo į </w:t>
                          </w:r>
                          <w:r>
                            <w:rPr>
                              <w:rFonts w:eastAsia="Calibri"/>
                              <w:szCs w:val="24"/>
                            </w:rPr>
                            <w:t>UAB „Globus Trade LT“ neapmokestinamų prekių parduotuvę, esančią Vilniaus geležinkelio stoties PKP 5-ame perone, schema (1 priedas)“.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signatura"/>
            <w:tag w:val="part_758eadd3b1554413863975d8ad4ceb61"/>
            <w:id w:val="617724238"/>
            <w:lock w:val="sdtLocked"/>
          </w:sdtPr>
          <w:sdtEndPr/>
          <w:sdtContent>
            <w:p w14:paraId="16E6E5DA" w14:textId="77777777" w:rsidR="000B4EB6" w:rsidRDefault="000B4EB6">
              <w:pPr>
                <w:jc w:val="both"/>
              </w:pPr>
            </w:p>
            <w:p w14:paraId="02BA1921" w14:textId="77777777" w:rsidR="000B4EB6" w:rsidRDefault="000B4EB6">
              <w:pPr>
                <w:jc w:val="both"/>
              </w:pPr>
            </w:p>
            <w:p w14:paraId="67BDF808" w14:textId="330C8794" w:rsidR="00DB7BAE" w:rsidRDefault="000B4EB6">
              <w:pPr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Valstybės sienos apsaugo</w:t>
              </w:r>
              <w:r>
                <w:rPr>
                  <w:szCs w:val="24"/>
                  <w:lang w:eastAsia="lt-LT"/>
                </w:rPr>
                <w:t xml:space="preserve">s tarnybos </w:t>
              </w:r>
            </w:p>
            <w:p w14:paraId="67BDF809" w14:textId="77777777" w:rsidR="00DB7BAE" w:rsidRDefault="000B4EB6">
              <w:pPr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prie Lietuvos Respublikos vidaus reikalų ministerijos</w:t>
              </w:r>
            </w:p>
            <w:p w14:paraId="67BDF80A" w14:textId="77777777" w:rsidR="00DB7BAE" w:rsidRDefault="000B4EB6">
              <w:pPr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vadas </w:t>
              </w:r>
            </w:p>
            <w:p w14:paraId="67BDF80B" w14:textId="77777777" w:rsidR="00DB7BAE" w:rsidRDefault="000B4EB6">
              <w:pPr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generolas 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  <w:t>Vainius Butinas</w:t>
              </w:r>
            </w:p>
            <w:p w14:paraId="67BDF80C" w14:textId="77777777" w:rsidR="00DB7BAE" w:rsidRDefault="00DB7BAE">
              <w:pPr>
                <w:ind w:firstLine="4320"/>
                <w:jc w:val="both"/>
                <w:rPr>
                  <w:szCs w:val="24"/>
                  <w:lang w:eastAsia="lt-LT"/>
                </w:rPr>
              </w:pPr>
            </w:p>
            <w:p w14:paraId="67BDF80D" w14:textId="77777777" w:rsidR="00DB7BAE" w:rsidRDefault="000B4EB6">
              <w:pPr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Muitinės departamento </w:t>
              </w:r>
            </w:p>
            <w:p w14:paraId="67BDF80E" w14:textId="77777777" w:rsidR="00DB7BAE" w:rsidRDefault="000B4EB6">
              <w:pPr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prie Lietuvos Respublikos finansų ministerijos</w:t>
              </w:r>
            </w:p>
            <w:p w14:paraId="67BDF80F" w14:textId="77777777" w:rsidR="00DB7BAE" w:rsidRDefault="000B4EB6">
              <w:pPr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generalinis direktorius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  <w:t>Antanas Šipavičius</w:t>
              </w:r>
            </w:p>
            <w:p w14:paraId="67BDF810" w14:textId="77777777" w:rsidR="00DB7BAE" w:rsidRDefault="00DB7BAE">
              <w:pPr>
                <w:jc w:val="both"/>
                <w:rPr>
                  <w:szCs w:val="24"/>
                  <w:lang w:eastAsia="lt-LT"/>
                </w:rPr>
              </w:pPr>
            </w:p>
            <w:p w14:paraId="67BDF811" w14:textId="77777777" w:rsidR="00DB7BAE" w:rsidRDefault="00DB7BAE">
              <w:pPr>
                <w:jc w:val="both"/>
                <w:rPr>
                  <w:szCs w:val="24"/>
                  <w:lang w:eastAsia="lt-LT"/>
                </w:rPr>
              </w:pPr>
            </w:p>
            <w:p w14:paraId="67BDF812" w14:textId="77777777" w:rsidR="00DB7BAE" w:rsidRDefault="000B4EB6">
              <w:pPr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Akcinės bendrovės „Lietuvos gel</w:t>
              </w:r>
              <w:r>
                <w:rPr>
                  <w:szCs w:val="24"/>
                  <w:lang w:eastAsia="lt-LT"/>
                </w:rPr>
                <w:t>ežinkeliai“</w:t>
              </w:r>
            </w:p>
            <w:p w14:paraId="67BDF813" w14:textId="77777777" w:rsidR="00DB7BAE" w:rsidRDefault="000B4EB6">
              <w:pPr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generalinis direktorius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  <w:t>Stasys Dailydka</w:t>
              </w:r>
            </w:p>
          </w:sdtContent>
        </w:sdt>
      </w:sdtContent>
    </w:sdt>
    <w:sectPr w:rsidR="00DB7BAE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DF816" w14:textId="77777777" w:rsidR="00DB7BAE" w:rsidRDefault="000B4EB6">
      <w:pPr>
        <w:rPr>
          <w:sz w:val="26"/>
          <w:lang w:eastAsia="lt-LT"/>
        </w:rPr>
      </w:pPr>
      <w:r>
        <w:rPr>
          <w:sz w:val="26"/>
          <w:lang w:eastAsia="lt-LT"/>
        </w:rPr>
        <w:separator/>
      </w:r>
    </w:p>
  </w:endnote>
  <w:endnote w:type="continuationSeparator" w:id="0">
    <w:p w14:paraId="67BDF817" w14:textId="77777777" w:rsidR="00DB7BAE" w:rsidRDefault="000B4EB6">
      <w:pPr>
        <w:rPr>
          <w:sz w:val="26"/>
          <w:lang w:eastAsia="lt-LT"/>
        </w:rPr>
      </w:pPr>
      <w:r>
        <w:rPr>
          <w:sz w:val="26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F814" w14:textId="77777777" w:rsidR="00DB7BAE" w:rsidRDefault="000B4EB6">
      <w:pPr>
        <w:rPr>
          <w:sz w:val="26"/>
          <w:lang w:eastAsia="lt-LT"/>
        </w:rPr>
      </w:pPr>
      <w:r>
        <w:rPr>
          <w:sz w:val="26"/>
          <w:lang w:eastAsia="lt-LT"/>
        </w:rPr>
        <w:separator/>
      </w:r>
    </w:p>
  </w:footnote>
  <w:footnote w:type="continuationSeparator" w:id="0">
    <w:p w14:paraId="67BDF815" w14:textId="77777777" w:rsidR="00DB7BAE" w:rsidRDefault="000B4EB6">
      <w:pPr>
        <w:rPr>
          <w:sz w:val="26"/>
          <w:lang w:eastAsia="lt-LT"/>
        </w:rPr>
      </w:pPr>
      <w:r>
        <w:rPr>
          <w:sz w:val="26"/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D2"/>
    <w:rsid w:val="000B4EB6"/>
    <w:rsid w:val="002734D2"/>
    <w:rsid w:val="00D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DF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B4E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B4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D4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765D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765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f7c05bbccb134aac9b05a876269efd40" PartId="60db51dca3cb4f738cb79dfd8357fb21">
    <Part Type="pastraipa" Nr="" Abbr="" Title="" Notes="" DocPartId="57300da6cf40441f91a33bb254873544" PartId="a6346e05729b410192545b59c0c546d5"/>
    <Part Type="punktas" Nr="1" Abbr="1 p." DocPartId="687b15864c214474a06ad5cfb4524969" PartId="d5d02d045d1044ef80da2258780869a4"/>
    <Part Type="punktas" Nr="2" Abbr="2 p." DocPartId="8bfcde2896a9426db99d601bf109094f" PartId="3d2c9367e93d4aefbe39f06ff4cc94b6">
      <Part Type="punktas" Nr="2.1" Abbr="2.1 p." DocPartId="1dc4d50a1d1d4055b89e4be4618a4b2f" PartId="d1400cbadc78433989fc3bc3fd3525d7">
        <Part Type="citata" DocPartId="655586c9cd84476b8b62adced023ca25" PartId="709abdb2b9d74138962efac00bcdc59d">
          <Part Type="punktas" Nr="6.5" Abbr="6.5 p." DocPartId="35588b1a9375492093c3bb61efb2702f" PartId="3e5d176d811e45ad9c989a4e8d4457fc"/>
        </Part>
      </Part>
      <Part Type="punktas" Nr="2.2" Abbr="2.2 p." DocPartId="acde334e99fd4a38a021cf29af78f1de" PartId="13ff21900db2417ebae8cb19a78e3323">
        <Part Type="citata" Nr="" Abbr="" Title="" Notes="" DocPartId="1b6991c346a7426ca9414a6f516fbe01" PartId="738e20de2e7449d69c4e9762214a1dc9">
          <Part Type="punktas" Nr="28" Abbr="28 p." Title="" Notes="" DocPartId="8acb61a43ffb47419525f64241e0e035" PartId="eb8b30ad390945e582567e6a37a444e4"/>
        </Part>
      </Part>
    </Part>
    <Part Type="punktas" Nr="2.3" Abbr="2.3 p." Title="" Notes="" DocPartId="9e15dcf6d68f4bfa8e0bd8a10992bde9" PartId="512143dd41b64da8b85da9eabc3fb86e">
      <Part Type="citata" Nr="" Abbr="" Title="" Notes="" DocPartId="8421a54aff784f83910be5da5ba57ae6" PartId="b0b38554eaaf41bfa976718d6615fd70">
        <Part Type="skirsnis" Title="VII¹. ŪKIO SUBJEKTŲ, TEIKIANČIŲ PASLAUGAS VILNIAUS GS PKP, PRIEŽIŪRA IR KONTROLĖ" DocPartId="f677bc4862c24afea9b0aec6a4165e42" PartId="33227d1b8e26469faf8a93204afcd513">
          <Part Type="punktas" Nr="46-1.1." Abbr="46-1.1. p." Title="" Notes="" DocPartId="895b5595af4a4065bd05ad5cec3ad8c1" PartId="1150d41ad09f426ba2b4b63678ae8969"/>
          <Part Type="punktas" Nr="46-1.2." Abbr="46-1.2. p." Title="" Notes="" DocPartId="c134fdde589b4c3d9385497eb63a73cf" PartId="8b1f7166e1f243c79cae4d28584f83f3"/>
          <Part Type="punktas" Nr="46-1.3." Abbr="46-1.3. p." Title="" Notes="" DocPartId="a07fc68f73b64e36a9f25974091715a3" PartId="473994cb89ed403b86c1b47deae21ede"/>
          <Part Type="punktas" Nr="46-1.4." Abbr="46-1.4. p." Title="" Notes="" DocPartId="97206711b7d346afad1ecce2c15ddabe" PartId="bfbeb273347c4aa18e523788bc4f1d76"/>
          <Part Type="punktas" Nr="46-1.5." Abbr="46-1.5. p." Title="" Notes="" DocPartId="38bc8d61f2da4f35a8cbc1e0bd6d2bfc" PartId="9a83e935b73844f58e27fe2757195f3c"/>
        </Part>
      </Part>
    </Part>
    <Part Type="signatura" DocPartId="57ff95e2487b47d99905adcadae89ce1" PartId="758eadd3b1554413863975d8ad4ceb61"/>
  </Part>
</Parts>
</file>

<file path=customXml/itemProps1.xml><?xml version="1.0" encoding="utf-8"?>
<ds:datastoreItem xmlns:ds="http://schemas.openxmlformats.org/officeDocument/2006/customXml" ds:itemID="{84A7B913-7723-42B6-B1D0-76E10ADC037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3437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</vt:lpstr>
    </vt:vector>
  </TitlesOfParts>
  <Company>VSAT</Company>
  <LinksUpToDate>false</LinksUpToDate>
  <CharactersWithSpaces>3885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DSilkiniene</dc:creator>
  <cp:lastModifiedBy>TAMALIŪNIENĖ Vilija</cp:lastModifiedBy>
  <cp:revision>3</cp:revision>
  <cp:lastPrinted>2014-01-30T08:26:00Z</cp:lastPrinted>
  <dcterms:created xsi:type="dcterms:W3CDTF">2015-05-04T12:01:00Z</dcterms:created>
  <dcterms:modified xsi:type="dcterms:W3CDTF">2015-05-04T12:23:00Z</dcterms:modified>
</cp:coreProperties>
</file>