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0076" w14:textId="1F96B0F3" w:rsidR="0057497E" w:rsidRDefault="006A38A7">
      <w:pPr>
        <w:jc w:val="center"/>
        <w:rPr>
          <w:b/>
          <w:caps/>
          <w:lang w:eastAsia="lt-LT"/>
        </w:rPr>
      </w:pPr>
      <w:r>
        <w:rPr>
          <w:b/>
          <w:caps/>
          <w:noProof/>
          <w:lang w:eastAsia="lt-LT"/>
        </w:rPr>
        <w:drawing>
          <wp:inline distT="0" distB="0" distL="0" distR="0" wp14:anchorId="5B04750E" wp14:editId="0D87CBB7">
            <wp:extent cx="542290" cy="59753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87FD1" w14:textId="77777777" w:rsidR="0057497E" w:rsidRDefault="0057497E">
      <w:pPr>
        <w:rPr>
          <w:b/>
          <w:caps/>
          <w:lang w:eastAsia="lt-LT"/>
        </w:rPr>
      </w:pPr>
    </w:p>
    <w:p w14:paraId="7C5E075B" w14:textId="2151754F" w:rsidR="0057497E" w:rsidRDefault="006A38A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vALSTYBINĖ KAINŲ IR ENERGETIKOS KONTROLĖS KOMISIJA</w:t>
      </w:r>
    </w:p>
    <w:p w14:paraId="7C5E075C" w14:textId="77777777" w:rsidR="0057497E" w:rsidRDefault="0057497E">
      <w:pPr>
        <w:jc w:val="center"/>
        <w:rPr>
          <w:b/>
          <w:caps/>
          <w:lang w:eastAsia="lt-LT"/>
        </w:rPr>
      </w:pPr>
    </w:p>
    <w:p w14:paraId="7C5E075D" w14:textId="77777777" w:rsidR="0057497E" w:rsidRDefault="006A38A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C5E075E" w14:textId="77777777" w:rsidR="0057497E" w:rsidRDefault="006A38A7">
      <w:pPr>
        <w:jc w:val="center"/>
        <w:rPr>
          <w:b/>
          <w:caps/>
          <w:color w:val="000000"/>
          <w:lang w:eastAsia="lt-LT"/>
        </w:rPr>
      </w:pPr>
      <w:r>
        <w:rPr>
          <w:b/>
          <w:caps/>
          <w:color w:val="000000"/>
          <w:lang w:eastAsia="lt-LT"/>
        </w:rPr>
        <w:t xml:space="preserve">Dėl Valstybinės kainų ir energetikos kontrolės komisijos 2013 m. rugsėjo 13 d. nutarimo Nr. O3-367 „Dėl Valstybės reguliuojamų kainų gamtinių dujų sektoriuje nustatymo metodikos </w:t>
      </w:r>
      <w:r>
        <w:rPr>
          <w:b/>
          <w:caps/>
          <w:color w:val="000000"/>
          <w:lang w:eastAsia="lt-LT"/>
        </w:rPr>
        <w:t>patvirtinimo“ pakeitimo</w:t>
      </w:r>
    </w:p>
    <w:p w14:paraId="7C5E075F" w14:textId="77777777" w:rsidR="0057497E" w:rsidRDefault="0057497E">
      <w:pPr>
        <w:jc w:val="center"/>
        <w:rPr>
          <w:b/>
          <w:caps/>
          <w:lang w:eastAsia="lt-LT"/>
        </w:rPr>
      </w:pPr>
    </w:p>
    <w:p w14:paraId="7C5E0760" w14:textId="77777777" w:rsidR="0057497E" w:rsidRDefault="006A38A7">
      <w:pPr>
        <w:jc w:val="center"/>
        <w:rPr>
          <w:lang w:eastAsia="lt-LT"/>
        </w:rPr>
      </w:pPr>
      <w:r>
        <w:rPr>
          <w:lang w:eastAsia="lt-LT"/>
        </w:rPr>
        <w:t xml:space="preserve">2014 m. gegužės  23 d. Nr. O3-128 </w:t>
      </w:r>
    </w:p>
    <w:p w14:paraId="7C5E0761" w14:textId="77777777" w:rsidR="0057497E" w:rsidRDefault="006A38A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C5E0762" w14:textId="77777777" w:rsidR="0057497E" w:rsidRDefault="0057497E">
      <w:pPr>
        <w:jc w:val="both"/>
        <w:rPr>
          <w:lang w:eastAsia="lt-LT"/>
        </w:rPr>
      </w:pPr>
    </w:p>
    <w:p w14:paraId="513B508E" w14:textId="77777777" w:rsidR="0057497E" w:rsidRDefault="0057497E">
      <w:pPr>
        <w:jc w:val="both"/>
        <w:rPr>
          <w:lang w:eastAsia="lt-LT"/>
        </w:rPr>
      </w:pPr>
    </w:p>
    <w:p w14:paraId="7C5E0763" w14:textId="77777777" w:rsidR="0057497E" w:rsidRDefault="006A38A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Vadovaudamasi </w:t>
      </w:r>
      <w:r>
        <w:rPr>
          <w:color w:val="000000"/>
          <w:lang w:eastAsia="lt-LT"/>
        </w:rPr>
        <w:t xml:space="preserve">Lietuvos Respublikos gamtinių dujų įstatymo 9 straipsnio 17 dalimi </w:t>
      </w:r>
      <w:r>
        <w:rPr>
          <w:lang w:eastAsia="lt-LT"/>
        </w:rPr>
        <w:t>bei atsižvelgdama į AB „Lietuvos dujos“ 2014 m. gegužės 14 d. raštą Nr. 7-411-544, Valstybinės kainų ir e</w:t>
      </w:r>
      <w:r>
        <w:rPr>
          <w:lang w:eastAsia="lt-LT"/>
        </w:rPr>
        <w:t xml:space="preserve">nergetikos kontrolės komisijos (toliau – Komisija) Dujų ir elektros departamento Dujų skyriaus 2014 m. gegužės 21 d. pažymą Nr. O5-124 </w:t>
      </w:r>
      <w:r>
        <w:rPr>
          <w:color w:val="000000"/>
          <w:lang w:eastAsia="lt-LT"/>
        </w:rPr>
        <w:t>„Dėl Valstybinės kainų ir energetikos kontrolės komisijos 2013 m. rugsėjo 13 d. nutarimo Nr. O3-367 „Dėl Valstybės reguli</w:t>
      </w:r>
      <w:r>
        <w:rPr>
          <w:color w:val="000000"/>
          <w:lang w:eastAsia="lt-LT"/>
        </w:rPr>
        <w:t>uojamų kainų gamtinių dujų sektoriuje nustatymo metodikos patvirtinimo“ pakeitimo</w:t>
      </w:r>
      <w:r>
        <w:rPr>
          <w:lang w:eastAsia="lt-LT"/>
        </w:rPr>
        <w:t>“, Komisija n u t a r i a:</w:t>
      </w:r>
    </w:p>
    <w:p w14:paraId="7C5E0764" w14:textId="77777777" w:rsidR="0057497E" w:rsidRDefault="006A38A7">
      <w:pPr>
        <w:tabs>
          <w:tab w:val="left" w:pos="284"/>
          <w:tab w:val="left" w:pos="993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Pakeisti </w:t>
      </w:r>
      <w:r>
        <w:rPr>
          <w:color w:val="000000"/>
          <w:lang w:eastAsia="lt-LT"/>
        </w:rPr>
        <w:t>Valstybės reguliuojamų kainų gamtinių dujų sektoriuje nustatymo metodiką, patvirtintą Komisijos 2013 m. rugsėjo 13 d. nutarimu Nr. O3-367</w:t>
      </w:r>
      <w:r>
        <w:rPr>
          <w:color w:val="000000"/>
          <w:lang w:eastAsia="lt-LT"/>
        </w:rPr>
        <w:t xml:space="preserve"> „Dėl Valstybės reguliuojamų kainų gamtinių dujų sektoriuje nustatymo metodikos patvirtinimo“:</w:t>
      </w:r>
    </w:p>
    <w:p w14:paraId="7C5E0765" w14:textId="77777777" w:rsidR="0057497E" w:rsidRDefault="006A38A7">
      <w:pPr>
        <w:tabs>
          <w:tab w:val="left" w:pos="284"/>
          <w:tab w:val="left" w:pos="993"/>
        </w:tabs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</w:t>
      </w:r>
      <w:r>
        <w:rPr>
          <w:color w:val="000000"/>
          <w:lang w:eastAsia="lt-LT"/>
        </w:rPr>
        <w:t xml:space="preserve">Pakeisti 69.4 punktą </w:t>
      </w:r>
      <w:r>
        <w:rPr>
          <w:lang w:eastAsia="lt-LT"/>
        </w:rPr>
        <w:t>ir išdėstyti jį taip:</w:t>
      </w:r>
    </w:p>
    <w:p w14:paraId="7C5E0766" w14:textId="77777777" w:rsidR="0057497E" w:rsidRDefault="006A38A7">
      <w:pPr>
        <w:tabs>
          <w:tab w:val="left" w:pos="1134"/>
        </w:tabs>
        <w:suppressAutoHyphens/>
        <w:ind w:firstLine="709"/>
        <w:jc w:val="both"/>
        <w:textAlignment w:val="center"/>
      </w:pPr>
      <w:r>
        <w:rPr>
          <w:szCs w:val="24"/>
          <w:lang w:eastAsia="lt-LT"/>
        </w:rPr>
        <w:t>„</w:t>
      </w:r>
      <w:r>
        <w:t>69.4</w:t>
      </w:r>
      <w:r>
        <w:t>. skirtumo tarp ankstesnio tarifų galiojimo laikotarpio prognozuotų ir faktinių gamtinių dujų (produkto)</w:t>
      </w:r>
      <w:r>
        <w:t xml:space="preserve"> kainų suma, suskaičiuota remiantis Metodikos 70−70</w:t>
      </w:r>
      <w:r>
        <w:rPr>
          <w:vertAlign w:val="superscript"/>
        </w:rPr>
        <w:t>1</w:t>
      </w:r>
      <w:r>
        <w:t xml:space="preserve"> punktais.“</w:t>
      </w:r>
    </w:p>
    <w:p w14:paraId="5919B2C9" w14:textId="480641C4" w:rsidR="0057497E" w:rsidRDefault="006A38A7">
      <w:pPr>
        <w:tabs>
          <w:tab w:val="left" w:pos="284"/>
          <w:tab w:val="left" w:pos="993"/>
        </w:tabs>
        <w:ind w:firstLine="709"/>
        <w:jc w:val="both"/>
        <w:rPr>
          <w:lang w:eastAsia="lt-LT"/>
        </w:rPr>
      </w:pPr>
      <w:r>
        <w:t>2</w:t>
      </w:r>
      <w:r>
        <w:t xml:space="preserve">. </w:t>
      </w:r>
      <w:r>
        <w:rPr>
          <w:color w:val="000000"/>
          <w:lang w:eastAsia="lt-LT"/>
        </w:rPr>
        <w:t xml:space="preserve">Papildyti </w:t>
      </w:r>
      <w:r>
        <w:rPr>
          <w:color w:val="000000"/>
        </w:rPr>
        <w:t>70</w:t>
      </w:r>
      <w:r>
        <w:rPr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r>
        <w:rPr>
          <w:color w:val="000000"/>
          <w:lang w:eastAsia="lt-LT"/>
        </w:rPr>
        <w:t xml:space="preserve">punktu </w:t>
      </w:r>
      <w:r>
        <w:rPr>
          <w:lang w:eastAsia="lt-LT"/>
        </w:rPr>
        <w:t>ir išdėstyti jį taip:</w:t>
      </w:r>
    </w:p>
    <w:p w14:paraId="7C5E0768" w14:textId="432D97ED" w:rsidR="0057497E" w:rsidRDefault="006A38A7">
      <w:pPr>
        <w:tabs>
          <w:tab w:val="left" w:pos="284"/>
          <w:tab w:val="left" w:pos="993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</w:rPr>
        <w:t>„</w:t>
      </w:r>
      <w:r>
        <w:rPr>
          <w:color w:val="000000"/>
        </w:rPr>
        <w:t>70</w:t>
      </w:r>
      <w:r>
        <w:rPr>
          <w:color w:val="000000"/>
          <w:vertAlign w:val="superscript"/>
        </w:rPr>
        <w:t>1</w:t>
      </w:r>
      <w:bookmarkStart w:id="0" w:name="_GoBack"/>
      <w:bookmarkEnd w:id="0"/>
      <w:r>
        <w:rPr>
          <w:color w:val="000000"/>
        </w:rPr>
        <w:t xml:space="preserve">. Skirtumas tarp faktinės ir suskaičiuotos (prognozuotos) gamtinių dujų pirkimo (importo) kainos įvertinamas nustatant gamtinių dujų tarifus buitiniams vartotojams, </w:t>
      </w:r>
      <w:r>
        <w:rPr>
          <w:color w:val="000000"/>
          <w:lang w:eastAsia="lt-LT"/>
        </w:rPr>
        <w:t>paskirstant susidariusį skirtumą per Komisijos nustatytą laikotarpį, kuris</w:t>
      </w:r>
      <w:r>
        <w:rPr>
          <w:color w:val="000000"/>
        </w:rPr>
        <w:t xml:space="preserve"> siekiant optimal</w:t>
      </w:r>
      <w:r>
        <w:rPr>
          <w:color w:val="000000"/>
        </w:rPr>
        <w:t xml:space="preserve">aus ilgalaikio efekto išlaikant tarifų stabilumą negali būti </w:t>
      </w:r>
      <w:r>
        <w:rPr>
          <w:color w:val="000000"/>
          <w:lang w:eastAsia="lt-LT"/>
        </w:rPr>
        <w:t>ilgesnis nei būsimi keturi tarifų buitiniams vartotojams nustatymo laikotarpiai (pusmečiai), šiais atvejais:</w:t>
      </w:r>
    </w:p>
    <w:p w14:paraId="7C5E0769" w14:textId="5E0F3957" w:rsidR="0057497E" w:rsidRDefault="006A38A7">
      <w:pPr>
        <w:tabs>
          <w:tab w:val="left" w:pos="709"/>
        </w:tabs>
        <w:suppressAutoHyphens/>
        <w:ind w:firstLine="709"/>
        <w:jc w:val="both"/>
        <w:textAlignment w:val="center"/>
        <w:rPr>
          <w:color w:val="000000"/>
        </w:rPr>
      </w:pPr>
      <w:r>
        <w:rPr>
          <w:color w:val="000000"/>
        </w:rPr>
        <w:t>70</w:t>
      </w:r>
      <w:r>
        <w:rPr>
          <w:color w:val="000000"/>
          <w:vertAlign w:val="superscript"/>
        </w:rPr>
        <w:t>1</w:t>
      </w:r>
      <w:r>
        <w:rPr>
          <w:color w:val="000000"/>
        </w:rPr>
        <w:t>.1</w:t>
      </w:r>
      <w:r>
        <w:rPr>
          <w:color w:val="000000"/>
        </w:rPr>
        <w:t xml:space="preserve">. iš trečiųjų valstybių kilusiam ir į Lietuvos Respublikos teritoriją gamtines </w:t>
      </w:r>
      <w:r>
        <w:rPr>
          <w:color w:val="000000"/>
        </w:rPr>
        <w:t>dujas tiekiančiam užsienio subjektui arba gamtinių dujų tiekėjui pakeitus esmines gamtinių dujų tiekimo sutarties sąlygas, sąlygojusias į ankstesniais laikotarpiais galiojusių gamtinių dujų tarifų buitiniams vartotojams įskaičiuotos gamtinių dujų pirkimo (</w:t>
      </w:r>
      <w:r>
        <w:rPr>
          <w:color w:val="000000"/>
        </w:rPr>
        <w:t>importo) kainos mažėjimą, Komisijos sprendime atskirai nurodant tokio skirtumo dydį;</w:t>
      </w:r>
    </w:p>
    <w:p w14:paraId="7C5E076D" w14:textId="08D53D5F" w:rsidR="0057497E" w:rsidRDefault="006A38A7">
      <w:pPr>
        <w:tabs>
          <w:tab w:val="left" w:pos="709"/>
        </w:tabs>
        <w:suppressAutoHyphens/>
        <w:ind w:firstLine="709"/>
        <w:jc w:val="both"/>
        <w:textAlignment w:val="center"/>
      </w:pPr>
      <w:r>
        <w:rPr>
          <w:color w:val="000000"/>
        </w:rPr>
        <w:t>70</w:t>
      </w:r>
      <w:r>
        <w:rPr>
          <w:color w:val="000000"/>
          <w:vertAlign w:val="superscript"/>
        </w:rPr>
        <w:t>1</w:t>
      </w:r>
      <w:r>
        <w:rPr>
          <w:color w:val="000000"/>
        </w:rPr>
        <w:t>.2</w:t>
      </w:r>
      <w:r>
        <w:rPr>
          <w:color w:val="000000"/>
        </w:rPr>
        <w:t>. Komisijai atlikus bendrovės patikrinimą ir nustačius neatitikimus tarp gamtinių dujų tarifuose buitiniams vartotojams įskaičiuotos ir faktinės gamtinių dujų pir</w:t>
      </w:r>
      <w:r>
        <w:rPr>
          <w:color w:val="000000"/>
        </w:rPr>
        <w:t xml:space="preserve">kimo (importo) kainos bei neatitikimus tarp buitiniams vartotojams atitinkamam laikotarpiui prognozuotų patiekti ir faktiškai patiektų gamtinių dujų kiekių.“ </w:t>
      </w:r>
    </w:p>
    <w:p w14:paraId="44403C66" w14:textId="77777777" w:rsidR="0057497E" w:rsidRDefault="0057497E">
      <w:pPr>
        <w:jc w:val="both"/>
      </w:pPr>
    </w:p>
    <w:p w14:paraId="6A1D029E" w14:textId="77777777" w:rsidR="0057497E" w:rsidRDefault="0057497E">
      <w:pPr>
        <w:jc w:val="both"/>
      </w:pPr>
    </w:p>
    <w:p w14:paraId="75FA54DE" w14:textId="77777777" w:rsidR="0057497E" w:rsidRDefault="006A38A7">
      <w:pPr>
        <w:jc w:val="both"/>
      </w:pPr>
    </w:p>
    <w:p w14:paraId="7C5E076E" w14:textId="6F59FBC7" w:rsidR="0057497E" w:rsidRDefault="006A38A7">
      <w:pPr>
        <w:jc w:val="both"/>
        <w:rPr>
          <w:lang w:eastAsia="lt-LT"/>
        </w:rPr>
      </w:pPr>
      <w:r>
        <w:rPr>
          <w:lang w:eastAsia="lt-LT"/>
        </w:rPr>
        <w:t>Komisijos pirmininko pavaduotojas,</w:t>
      </w:r>
    </w:p>
    <w:p w14:paraId="7C5E076F" w14:textId="2EA683AF" w:rsidR="0057497E" w:rsidRDefault="006A38A7">
      <w:pPr>
        <w:tabs>
          <w:tab w:val="left" w:pos="1296"/>
          <w:tab w:val="left" w:pos="2592"/>
          <w:tab w:val="left" w:pos="3888"/>
          <w:tab w:val="left" w:pos="5184"/>
          <w:tab w:val="left" w:pos="7264"/>
        </w:tabs>
        <w:jc w:val="both"/>
        <w:rPr>
          <w:lang w:eastAsia="lt-LT"/>
        </w:rPr>
      </w:pPr>
      <w:r>
        <w:rPr>
          <w:lang w:eastAsia="lt-LT"/>
        </w:rPr>
        <w:t>laikinai vykdantis Komisijos pirmininko funkcijas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Darius Biekša</w:t>
      </w:r>
    </w:p>
    <w:sectPr w:rsidR="005749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6"/>
    <w:rsid w:val="00034F66"/>
    <w:rsid w:val="0057497E"/>
    <w:rsid w:val="006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2016-02-23T09:39:00Z</dcterms:created>
  <dc:creator>Raimonda Ragelytė</dc:creator>
  <lastModifiedBy>DRAZDAUSKIENĖ Nijolė</lastModifiedBy>
  <lastPrinted>2014-05-14T15:16:00Z</lastPrinted>
  <dcterms:modified xsi:type="dcterms:W3CDTF">2016-02-23T09:41:00Z</dcterms:modified>
  <revision>3</revision>
</coreProperties>
</file>