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84F47" w14:textId="77777777" w:rsidR="00E571B8" w:rsidRDefault="00E571B8">
      <w:pPr>
        <w:tabs>
          <w:tab w:val="center" w:pos="4153"/>
          <w:tab w:val="right" w:pos="8306"/>
        </w:tabs>
        <w:rPr>
          <w:rFonts w:ascii="TimesLT" w:hAnsi="TimesLT"/>
          <w:lang w:val="en-US"/>
        </w:rPr>
      </w:pPr>
    </w:p>
    <w:p w14:paraId="43584F48" w14:textId="77777777" w:rsidR="00E571B8" w:rsidRDefault="008A6310">
      <w:pPr>
        <w:jc w:val="center"/>
        <w:rPr>
          <w:caps/>
          <w:sz w:val="22"/>
        </w:rPr>
      </w:pPr>
      <w:r>
        <w:rPr>
          <w:caps/>
          <w:noProof/>
          <w:lang w:eastAsia="lt-LT"/>
        </w:rPr>
        <w:drawing>
          <wp:inline distT="0" distB="0" distL="0" distR="0" wp14:anchorId="43584F95" wp14:editId="43584F96">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43584F49" w14:textId="77777777" w:rsidR="00E571B8" w:rsidRDefault="00E571B8">
      <w:pPr>
        <w:jc w:val="center"/>
        <w:rPr>
          <w:caps/>
          <w:sz w:val="12"/>
          <w:szCs w:val="12"/>
        </w:rPr>
      </w:pPr>
    </w:p>
    <w:p w14:paraId="43584F4A" w14:textId="77777777" w:rsidR="00E571B8" w:rsidRDefault="008A6310">
      <w:pPr>
        <w:jc w:val="center"/>
        <w:rPr>
          <w:b/>
          <w:bCs/>
          <w:caps/>
        </w:rPr>
      </w:pPr>
      <w:r>
        <w:rPr>
          <w:b/>
          <w:bCs/>
          <w:caps/>
        </w:rPr>
        <w:t>LIETUVOS RESPUBLIKOS</w:t>
      </w:r>
    </w:p>
    <w:p w14:paraId="43584F4B" w14:textId="77777777" w:rsidR="00E571B8" w:rsidRDefault="008A6310">
      <w:pPr>
        <w:jc w:val="center"/>
        <w:rPr>
          <w:b/>
          <w:caps/>
        </w:rPr>
      </w:pPr>
      <w:r>
        <w:rPr>
          <w:b/>
          <w:caps/>
        </w:rPr>
        <w:t>ENERGIJOS IŠTEKLIŲ RINKOS ĮSTATYMO NR. XI-2023 2, 3, 10, 13 STRAIPSNIŲ, ŠEŠTOJO IR SEPTINTOJO SKIRSNIŲ PAKEITIMO</w:t>
      </w:r>
    </w:p>
    <w:p w14:paraId="43584F4C" w14:textId="77777777" w:rsidR="00E571B8" w:rsidRDefault="008A6310">
      <w:pPr>
        <w:jc w:val="center"/>
        <w:rPr>
          <w:caps/>
        </w:rPr>
      </w:pPr>
      <w:r>
        <w:rPr>
          <w:b/>
          <w:caps/>
        </w:rPr>
        <w:t>ĮSTATYMAS</w:t>
      </w:r>
    </w:p>
    <w:p w14:paraId="43584F4D" w14:textId="77777777" w:rsidR="00E571B8" w:rsidRDefault="00E571B8">
      <w:pPr>
        <w:jc w:val="center"/>
        <w:rPr>
          <w:b/>
          <w:caps/>
        </w:rPr>
      </w:pPr>
    </w:p>
    <w:p w14:paraId="43584F4E" w14:textId="77777777" w:rsidR="00E571B8" w:rsidRDefault="008A6310">
      <w:pPr>
        <w:jc w:val="center"/>
        <w:rPr>
          <w:szCs w:val="24"/>
        </w:rPr>
      </w:pPr>
      <w:r>
        <w:rPr>
          <w:szCs w:val="24"/>
        </w:rPr>
        <w:t>2018 m. gruodžio 18 d. Nr. XIII-1785</w:t>
      </w:r>
    </w:p>
    <w:p w14:paraId="43584F4F" w14:textId="77777777" w:rsidR="00E571B8" w:rsidRDefault="008A6310">
      <w:pPr>
        <w:jc w:val="center"/>
        <w:rPr>
          <w:szCs w:val="24"/>
        </w:rPr>
      </w:pPr>
      <w:r>
        <w:rPr>
          <w:szCs w:val="24"/>
        </w:rPr>
        <w:t>Vilnius</w:t>
      </w:r>
    </w:p>
    <w:p w14:paraId="43584F50" w14:textId="77777777" w:rsidR="00E571B8" w:rsidRDefault="00E571B8">
      <w:pPr>
        <w:jc w:val="center"/>
        <w:rPr>
          <w:sz w:val="22"/>
        </w:rPr>
      </w:pPr>
    </w:p>
    <w:p w14:paraId="43584F51" w14:textId="77777777" w:rsidR="00E571B8" w:rsidRDefault="00E571B8">
      <w:pPr>
        <w:spacing w:line="360" w:lineRule="auto"/>
        <w:ind w:firstLine="720"/>
        <w:jc w:val="both"/>
        <w:rPr>
          <w:sz w:val="16"/>
          <w:szCs w:val="16"/>
        </w:rPr>
      </w:pPr>
    </w:p>
    <w:p w14:paraId="43584F52" w14:textId="77777777" w:rsidR="00E571B8" w:rsidRDefault="00E571B8">
      <w:pPr>
        <w:spacing w:line="360" w:lineRule="auto"/>
        <w:ind w:firstLine="720"/>
        <w:jc w:val="both"/>
        <w:sectPr w:rsidR="00E571B8">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43584F53" w14:textId="77777777" w:rsidR="00E571B8" w:rsidRDefault="00E571B8">
      <w:pPr>
        <w:tabs>
          <w:tab w:val="center" w:pos="4680"/>
          <w:tab w:val="right" w:pos="9360"/>
        </w:tabs>
        <w:rPr>
          <w:rFonts w:ascii="TimesLT" w:hAnsi="TimesLT"/>
          <w:sz w:val="22"/>
          <w:szCs w:val="22"/>
          <w:lang w:val="en-US" w:eastAsia="lt-LT"/>
        </w:rPr>
      </w:pPr>
    </w:p>
    <w:p w14:paraId="43584F54" w14:textId="77777777" w:rsidR="00E571B8" w:rsidRDefault="008A6310">
      <w:pPr>
        <w:spacing w:line="360" w:lineRule="auto"/>
        <w:ind w:firstLine="720"/>
        <w:jc w:val="both"/>
        <w:rPr>
          <w:b/>
          <w:bCs/>
          <w:szCs w:val="24"/>
        </w:rPr>
      </w:pPr>
      <w:r>
        <w:rPr>
          <w:b/>
          <w:bCs/>
          <w:color w:val="000000"/>
          <w:szCs w:val="24"/>
        </w:rPr>
        <w:t>1</w:t>
      </w:r>
      <w:r>
        <w:rPr>
          <w:b/>
          <w:bCs/>
          <w:color w:val="000000"/>
          <w:szCs w:val="24"/>
        </w:rPr>
        <w:t xml:space="preserve"> straipsnis.</w:t>
      </w:r>
      <w:r>
        <w:rPr>
          <w:b/>
          <w:bCs/>
          <w:szCs w:val="24"/>
        </w:rPr>
        <w:t xml:space="preserve"> </w:t>
      </w:r>
      <w:r>
        <w:rPr>
          <w:b/>
          <w:bCs/>
          <w:szCs w:val="24"/>
        </w:rPr>
        <w:t>2 straipsnio pakeitimas</w:t>
      </w:r>
    </w:p>
    <w:p w14:paraId="43584F55" w14:textId="77777777" w:rsidR="00E571B8" w:rsidRDefault="008A6310">
      <w:pPr>
        <w:tabs>
          <w:tab w:val="left" w:pos="993"/>
        </w:tabs>
        <w:spacing w:line="360" w:lineRule="auto"/>
        <w:ind w:firstLine="720"/>
        <w:jc w:val="both"/>
        <w:rPr>
          <w:bCs/>
          <w:szCs w:val="24"/>
        </w:rPr>
      </w:pPr>
      <w:r>
        <w:rPr>
          <w:bCs/>
          <w:szCs w:val="24"/>
        </w:rPr>
        <w:t>Pakeisti 2 straipsnio 1 dalį ir ją išdėstyti taip:</w:t>
      </w:r>
    </w:p>
    <w:p w14:paraId="43584F56" w14:textId="77777777" w:rsidR="00E571B8" w:rsidRDefault="008A6310">
      <w:pPr>
        <w:spacing w:line="360" w:lineRule="auto"/>
        <w:ind w:firstLine="720"/>
        <w:jc w:val="both"/>
        <w:rPr>
          <w:szCs w:val="24"/>
        </w:rPr>
      </w:pPr>
      <w:r>
        <w:rPr>
          <w:szCs w:val="24"/>
        </w:rPr>
        <w:t>„</w:t>
      </w:r>
      <w:r>
        <w:rPr>
          <w:szCs w:val="24"/>
        </w:rPr>
        <w:t>1</w:t>
      </w:r>
      <w:r>
        <w:rPr>
          <w:szCs w:val="24"/>
        </w:rPr>
        <w:t xml:space="preserve">. </w:t>
      </w:r>
      <w:r>
        <w:rPr>
          <w:b/>
          <w:bCs/>
          <w:szCs w:val="24"/>
        </w:rPr>
        <w:t xml:space="preserve">Energijos išteklių </w:t>
      </w:r>
      <w:r>
        <w:rPr>
          <w:b/>
          <w:bCs/>
          <w:szCs w:val="24"/>
        </w:rPr>
        <w:t>birža</w:t>
      </w:r>
      <w:r>
        <w:rPr>
          <w:szCs w:val="24"/>
        </w:rPr>
        <w:t xml:space="preserve"> – centralizuota prekybos energijos ištekliais sistema, kurioje yra centralizuotai prekiaujama biokuru ir (ar) pagalbiniais apsaugos nuo energijos kainų svyravimo instrumentais.“</w:t>
      </w:r>
    </w:p>
    <w:p w14:paraId="43584F57" w14:textId="77777777" w:rsidR="00E571B8" w:rsidRDefault="008A6310">
      <w:pPr>
        <w:spacing w:line="360" w:lineRule="auto"/>
        <w:ind w:firstLine="720"/>
        <w:jc w:val="both"/>
        <w:rPr>
          <w:bCs/>
          <w:szCs w:val="24"/>
        </w:rPr>
      </w:pPr>
    </w:p>
    <w:p w14:paraId="43584F58" w14:textId="77777777" w:rsidR="00E571B8" w:rsidRDefault="008A6310">
      <w:pPr>
        <w:tabs>
          <w:tab w:val="left" w:pos="709"/>
        </w:tabs>
        <w:spacing w:line="360" w:lineRule="auto"/>
        <w:ind w:firstLine="720"/>
        <w:jc w:val="both"/>
        <w:rPr>
          <w:b/>
          <w:bCs/>
          <w:szCs w:val="24"/>
        </w:rPr>
      </w:pPr>
      <w:r>
        <w:rPr>
          <w:b/>
          <w:bCs/>
          <w:szCs w:val="24"/>
        </w:rPr>
        <w:t>2</w:t>
      </w:r>
      <w:r>
        <w:rPr>
          <w:b/>
          <w:bCs/>
          <w:szCs w:val="24"/>
        </w:rPr>
        <w:t xml:space="preserve"> straipsnis. </w:t>
      </w:r>
      <w:r>
        <w:rPr>
          <w:b/>
          <w:bCs/>
          <w:szCs w:val="24"/>
        </w:rPr>
        <w:t>3 straipsnio pakeitimas</w:t>
      </w:r>
    </w:p>
    <w:p w14:paraId="43584F59" w14:textId="77777777" w:rsidR="00E571B8" w:rsidRDefault="008A6310">
      <w:pPr>
        <w:tabs>
          <w:tab w:val="left" w:pos="993"/>
        </w:tabs>
        <w:spacing w:line="360" w:lineRule="auto"/>
        <w:ind w:firstLine="720"/>
        <w:jc w:val="both"/>
        <w:rPr>
          <w:bCs/>
          <w:szCs w:val="24"/>
        </w:rPr>
      </w:pPr>
      <w:r>
        <w:rPr>
          <w:bCs/>
          <w:szCs w:val="24"/>
        </w:rPr>
        <w:t>Pakeisti 3 straipsnio</w:t>
      </w:r>
      <w:r>
        <w:rPr>
          <w:bCs/>
          <w:szCs w:val="24"/>
        </w:rPr>
        <w:t xml:space="preserve"> 5 punktą ir jį išdėstyti taip:</w:t>
      </w:r>
    </w:p>
    <w:p w14:paraId="43584F5A" w14:textId="77777777" w:rsidR="00E571B8" w:rsidRDefault="008A6310">
      <w:pPr>
        <w:spacing w:line="360" w:lineRule="auto"/>
        <w:ind w:firstLine="720"/>
        <w:jc w:val="both"/>
        <w:rPr>
          <w:szCs w:val="24"/>
        </w:rPr>
      </w:pPr>
      <w:r>
        <w:rPr>
          <w:szCs w:val="24"/>
        </w:rPr>
        <w:t>„</w:t>
      </w:r>
      <w:r>
        <w:rPr>
          <w:szCs w:val="24"/>
        </w:rPr>
        <w:t>5</w:t>
      </w:r>
      <w:r>
        <w:rPr>
          <w:szCs w:val="24"/>
        </w:rPr>
        <w:t>) nustatyti bendruosius prekybos gamtinėmis dujomis principus;“.</w:t>
      </w:r>
    </w:p>
    <w:p w14:paraId="43584F5B" w14:textId="77777777" w:rsidR="00E571B8" w:rsidRDefault="008A6310">
      <w:pPr>
        <w:spacing w:line="360" w:lineRule="auto"/>
        <w:ind w:firstLine="720"/>
        <w:jc w:val="both"/>
        <w:rPr>
          <w:bCs/>
          <w:szCs w:val="24"/>
        </w:rPr>
      </w:pPr>
    </w:p>
    <w:p w14:paraId="43584F5C" w14:textId="77777777" w:rsidR="00E571B8" w:rsidRDefault="008A6310">
      <w:pPr>
        <w:spacing w:line="360" w:lineRule="auto"/>
        <w:ind w:firstLine="720"/>
        <w:jc w:val="both"/>
        <w:rPr>
          <w:b/>
          <w:bCs/>
          <w:szCs w:val="24"/>
        </w:rPr>
      </w:pPr>
      <w:r>
        <w:rPr>
          <w:b/>
          <w:bCs/>
          <w:szCs w:val="24"/>
        </w:rPr>
        <w:t>3</w:t>
      </w:r>
      <w:r>
        <w:rPr>
          <w:b/>
          <w:bCs/>
          <w:szCs w:val="24"/>
        </w:rPr>
        <w:t xml:space="preserve"> straipsnis. </w:t>
      </w:r>
      <w:r>
        <w:rPr>
          <w:b/>
          <w:bCs/>
          <w:szCs w:val="24"/>
        </w:rPr>
        <w:t>10 straipsnio pakeitimas</w:t>
      </w:r>
    </w:p>
    <w:p w14:paraId="43584F5D" w14:textId="77777777" w:rsidR="00E571B8" w:rsidRDefault="008A6310">
      <w:pPr>
        <w:tabs>
          <w:tab w:val="left" w:pos="993"/>
        </w:tabs>
        <w:spacing w:line="360" w:lineRule="auto"/>
        <w:ind w:firstLine="720"/>
        <w:jc w:val="both"/>
        <w:rPr>
          <w:szCs w:val="24"/>
        </w:rPr>
      </w:pPr>
      <w:r>
        <w:rPr>
          <w:bCs/>
          <w:szCs w:val="24"/>
        </w:rPr>
        <w:t>Pakeisti 10 straipsnio 1 dalį ir ją išdėstyti taip:</w:t>
      </w:r>
    </w:p>
    <w:p w14:paraId="43584F5E" w14:textId="77777777" w:rsidR="00E571B8" w:rsidRDefault="008A6310">
      <w:pPr>
        <w:spacing w:line="360" w:lineRule="auto"/>
        <w:ind w:firstLine="720"/>
        <w:jc w:val="both"/>
        <w:rPr>
          <w:color w:val="000000"/>
          <w:szCs w:val="24"/>
        </w:rPr>
      </w:pPr>
      <w:r>
        <w:rPr>
          <w:szCs w:val="24"/>
        </w:rPr>
        <w:t>„</w:t>
      </w:r>
      <w:r>
        <w:rPr>
          <w:szCs w:val="24"/>
        </w:rPr>
        <w:t>1</w:t>
      </w:r>
      <w:r>
        <w:rPr>
          <w:szCs w:val="24"/>
        </w:rPr>
        <w:t xml:space="preserve">. Energijos išteklių biržos operatorius šio įstatymo ir jo įgyvendinamųjų teisės aktų nustatyta tvarka administruoja energijos išteklių biržą ir organizuoja centralizuotą prekybą biokuru ir (ar) pagalbiniais instrumentais energijos išteklių biržoje </w:t>
      </w:r>
      <w:r>
        <w:rPr>
          <w:bCs/>
          <w:szCs w:val="24"/>
        </w:rPr>
        <w:t>ir Šilu</w:t>
      </w:r>
      <w:r>
        <w:rPr>
          <w:bCs/>
          <w:szCs w:val="24"/>
        </w:rPr>
        <w:t>mos ūkio įstatyme nustatyta tvarka organizuoja šilumos aukcionus</w:t>
      </w:r>
      <w:r>
        <w:rPr>
          <w:szCs w:val="24"/>
        </w:rPr>
        <w:t>.“</w:t>
      </w:r>
    </w:p>
    <w:p w14:paraId="43584F5F" w14:textId="77777777" w:rsidR="00E571B8" w:rsidRDefault="008A6310">
      <w:pPr>
        <w:tabs>
          <w:tab w:val="left" w:pos="993"/>
        </w:tabs>
        <w:spacing w:line="360" w:lineRule="auto"/>
        <w:ind w:firstLine="720"/>
        <w:jc w:val="both"/>
        <w:rPr>
          <w:szCs w:val="24"/>
        </w:rPr>
      </w:pPr>
    </w:p>
    <w:p w14:paraId="43584F60" w14:textId="77777777" w:rsidR="00E571B8" w:rsidRDefault="008A6310">
      <w:pPr>
        <w:tabs>
          <w:tab w:val="left" w:pos="993"/>
        </w:tabs>
        <w:spacing w:line="360" w:lineRule="auto"/>
        <w:ind w:firstLine="720"/>
        <w:jc w:val="both"/>
        <w:rPr>
          <w:b/>
          <w:bCs/>
          <w:szCs w:val="24"/>
        </w:rPr>
      </w:pPr>
      <w:r>
        <w:rPr>
          <w:b/>
          <w:bCs/>
          <w:szCs w:val="24"/>
        </w:rPr>
        <w:t>4</w:t>
      </w:r>
      <w:r>
        <w:rPr>
          <w:b/>
          <w:bCs/>
          <w:szCs w:val="24"/>
        </w:rPr>
        <w:t xml:space="preserve"> straipsnis. </w:t>
      </w:r>
      <w:r>
        <w:rPr>
          <w:b/>
          <w:bCs/>
          <w:szCs w:val="24"/>
        </w:rPr>
        <w:t>13 straipsnio pakeitimas</w:t>
      </w:r>
    </w:p>
    <w:p w14:paraId="43584F61" w14:textId="77777777" w:rsidR="00E571B8" w:rsidRDefault="008A6310">
      <w:pPr>
        <w:tabs>
          <w:tab w:val="left" w:pos="993"/>
        </w:tabs>
        <w:spacing w:line="360" w:lineRule="auto"/>
        <w:ind w:firstLine="720"/>
        <w:jc w:val="both"/>
        <w:rPr>
          <w:szCs w:val="24"/>
        </w:rPr>
      </w:pPr>
      <w:r>
        <w:rPr>
          <w:bCs/>
          <w:szCs w:val="24"/>
        </w:rPr>
        <w:t>Pakeisti 13 straipsnio 2 dalies 1 punktą ir jį išdėstyti taip:</w:t>
      </w:r>
    </w:p>
    <w:p w14:paraId="43584F62" w14:textId="77777777" w:rsidR="00E571B8" w:rsidRDefault="008A6310">
      <w:pPr>
        <w:spacing w:line="360" w:lineRule="auto"/>
        <w:ind w:firstLine="720"/>
        <w:jc w:val="both"/>
        <w:rPr>
          <w:bCs/>
          <w:szCs w:val="24"/>
        </w:rPr>
      </w:pPr>
      <w:r>
        <w:rPr>
          <w:bCs/>
          <w:szCs w:val="24"/>
        </w:rPr>
        <w:t>„</w:t>
      </w:r>
      <w:r>
        <w:rPr>
          <w:bCs/>
          <w:szCs w:val="24"/>
        </w:rPr>
        <w:t>1</w:t>
      </w:r>
      <w:r>
        <w:rPr>
          <w:bCs/>
          <w:szCs w:val="24"/>
        </w:rPr>
        <w:t>) administruoja ir organizuoja energijos išteklių biržą, kurioje centr</w:t>
      </w:r>
      <w:r>
        <w:rPr>
          <w:bCs/>
          <w:szCs w:val="24"/>
        </w:rPr>
        <w:t xml:space="preserve">alizuotai prekiaujama </w:t>
      </w:r>
      <w:r>
        <w:rPr>
          <w:szCs w:val="24"/>
        </w:rPr>
        <w:t>biokuru</w:t>
      </w:r>
      <w:r>
        <w:rPr>
          <w:bCs/>
          <w:szCs w:val="24"/>
        </w:rPr>
        <w:t xml:space="preserve"> ir </w:t>
      </w:r>
      <w:r>
        <w:rPr>
          <w:szCs w:val="24"/>
        </w:rPr>
        <w:t xml:space="preserve">(ar) </w:t>
      </w:r>
      <w:r>
        <w:rPr>
          <w:bCs/>
          <w:szCs w:val="24"/>
        </w:rPr>
        <w:t>pagalbiniais instrumentais;“.</w:t>
      </w:r>
    </w:p>
    <w:p w14:paraId="43584F63" w14:textId="77777777" w:rsidR="00E571B8" w:rsidRDefault="00E571B8">
      <w:pPr>
        <w:tabs>
          <w:tab w:val="left" w:pos="993"/>
        </w:tabs>
        <w:spacing w:line="360" w:lineRule="auto"/>
        <w:ind w:firstLine="720"/>
        <w:jc w:val="both"/>
        <w:rPr>
          <w:szCs w:val="24"/>
        </w:rPr>
      </w:pPr>
    </w:p>
    <w:p w14:paraId="43584F64" w14:textId="77777777" w:rsidR="00E571B8" w:rsidRDefault="008A6310">
      <w:pPr>
        <w:tabs>
          <w:tab w:val="left" w:pos="993"/>
        </w:tabs>
        <w:spacing w:line="360" w:lineRule="auto"/>
        <w:ind w:firstLine="720"/>
        <w:jc w:val="both"/>
        <w:rPr>
          <w:szCs w:val="24"/>
        </w:rPr>
      </w:pPr>
    </w:p>
    <w:p w14:paraId="43584F65" w14:textId="77777777" w:rsidR="00E571B8" w:rsidRDefault="008A6310">
      <w:pPr>
        <w:spacing w:line="360" w:lineRule="auto"/>
        <w:ind w:firstLine="720"/>
        <w:rPr>
          <w:b/>
          <w:bCs/>
          <w:szCs w:val="24"/>
        </w:rPr>
      </w:pPr>
      <w:r>
        <w:rPr>
          <w:b/>
          <w:bCs/>
          <w:szCs w:val="24"/>
        </w:rPr>
        <w:t>5</w:t>
      </w:r>
      <w:r>
        <w:rPr>
          <w:b/>
          <w:bCs/>
          <w:szCs w:val="24"/>
        </w:rPr>
        <w:t xml:space="preserve"> straipsnis. </w:t>
      </w:r>
      <w:r>
        <w:rPr>
          <w:b/>
          <w:bCs/>
          <w:szCs w:val="24"/>
        </w:rPr>
        <w:t>Šeštojo skirsnio pakeitimas</w:t>
      </w:r>
    </w:p>
    <w:p w14:paraId="43584F66" w14:textId="77777777" w:rsidR="00E571B8" w:rsidRDefault="008A6310">
      <w:pPr>
        <w:spacing w:line="360" w:lineRule="auto"/>
        <w:ind w:firstLine="720"/>
        <w:rPr>
          <w:bCs/>
          <w:szCs w:val="24"/>
        </w:rPr>
      </w:pPr>
      <w:r>
        <w:rPr>
          <w:bCs/>
          <w:szCs w:val="24"/>
        </w:rPr>
        <w:t>Pakeisti šeštąjį skirsnį ir jį išdėstyti taip:</w:t>
      </w:r>
    </w:p>
    <w:p w14:paraId="43584F67" w14:textId="77777777" w:rsidR="00E571B8" w:rsidRDefault="00E571B8">
      <w:pPr>
        <w:spacing w:line="360" w:lineRule="auto"/>
        <w:ind w:firstLine="720"/>
        <w:jc w:val="center"/>
        <w:rPr>
          <w:bCs/>
          <w:caps/>
          <w:color w:val="000000"/>
          <w:szCs w:val="24"/>
          <w:lang w:eastAsia="lt-LT"/>
        </w:rPr>
      </w:pPr>
    </w:p>
    <w:p w14:paraId="43584F68" w14:textId="77777777" w:rsidR="00E571B8" w:rsidRDefault="008A6310">
      <w:pPr>
        <w:spacing w:line="360" w:lineRule="auto"/>
        <w:jc w:val="center"/>
        <w:rPr>
          <w:color w:val="000000"/>
          <w:szCs w:val="24"/>
          <w:lang w:eastAsia="lt-LT"/>
        </w:rPr>
      </w:pPr>
      <w:r>
        <w:rPr>
          <w:bCs/>
          <w:caps/>
          <w:color w:val="000000"/>
          <w:szCs w:val="24"/>
          <w:lang w:eastAsia="lt-LT"/>
        </w:rPr>
        <w:t>„</w:t>
      </w:r>
      <w:r>
        <w:rPr>
          <w:b/>
          <w:bCs/>
          <w:caps/>
          <w:color w:val="000000"/>
          <w:szCs w:val="24"/>
          <w:lang w:eastAsia="lt-LT"/>
        </w:rPr>
        <w:t>ŠEŠTASIS</w:t>
      </w:r>
      <w:r>
        <w:rPr>
          <w:b/>
          <w:bCs/>
          <w:caps/>
          <w:color w:val="000000"/>
          <w:szCs w:val="24"/>
          <w:lang w:eastAsia="lt-LT"/>
        </w:rPr>
        <w:t xml:space="preserve"> SKIRSNIS</w:t>
      </w:r>
    </w:p>
    <w:p w14:paraId="43584F69" w14:textId="77777777" w:rsidR="00E571B8" w:rsidRDefault="008A6310">
      <w:pPr>
        <w:spacing w:line="360" w:lineRule="auto"/>
        <w:jc w:val="center"/>
        <w:rPr>
          <w:color w:val="000000"/>
          <w:szCs w:val="24"/>
          <w:lang w:eastAsia="lt-LT"/>
        </w:rPr>
      </w:pPr>
      <w:r>
        <w:rPr>
          <w:b/>
          <w:bCs/>
          <w:caps/>
          <w:color w:val="000000"/>
          <w:szCs w:val="24"/>
          <w:lang w:eastAsia="lt-LT"/>
        </w:rPr>
        <w:t>PREKYBA GAMTINĖMIS DUJOMIS</w:t>
      </w:r>
    </w:p>
    <w:p w14:paraId="43584F6A" w14:textId="77777777" w:rsidR="00E571B8" w:rsidRDefault="00E571B8">
      <w:pPr>
        <w:spacing w:line="240" w:lineRule="atLeast"/>
        <w:ind w:firstLine="720"/>
        <w:rPr>
          <w:bCs/>
          <w:szCs w:val="24"/>
        </w:rPr>
      </w:pPr>
    </w:p>
    <w:p w14:paraId="43584F6B" w14:textId="77777777" w:rsidR="00E571B8" w:rsidRDefault="008A6310">
      <w:pPr>
        <w:tabs>
          <w:tab w:val="left" w:pos="993"/>
        </w:tabs>
        <w:spacing w:line="360" w:lineRule="auto"/>
        <w:ind w:firstLine="720"/>
        <w:rPr>
          <w:szCs w:val="24"/>
        </w:rPr>
      </w:pPr>
      <w:r>
        <w:rPr>
          <w:b/>
          <w:szCs w:val="24"/>
        </w:rPr>
        <w:t>22</w:t>
      </w:r>
      <w:r>
        <w:rPr>
          <w:b/>
          <w:szCs w:val="24"/>
        </w:rPr>
        <w:t xml:space="preserve"> straipsnis. </w:t>
      </w:r>
      <w:r>
        <w:rPr>
          <w:b/>
          <w:szCs w:val="24"/>
        </w:rPr>
        <w:t xml:space="preserve">Prekybos </w:t>
      </w:r>
      <w:r>
        <w:rPr>
          <w:b/>
          <w:szCs w:val="24"/>
        </w:rPr>
        <w:t>gamtinėmis dujomis bendrieji principai</w:t>
      </w:r>
    </w:p>
    <w:p w14:paraId="43584F6C" w14:textId="77777777" w:rsidR="00E571B8" w:rsidRDefault="008A6310">
      <w:pPr>
        <w:tabs>
          <w:tab w:val="left" w:pos="993"/>
        </w:tabs>
        <w:spacing w:line="360" w:lineRule="auto"/>
        <w:ind w:firstLine="720"/>
        <w:jc w:val="both"/>
        <w:rPr>
          <w:szCs w:val="24"/>
        </w:rPr>
      </w:pPr>
      <w:r>
        <w:rPr>
          <w:szCs w:val="24"/>
        </w:rPr>
        <w:t>1</w:t>
      </w:r>
      <w:r>
        <w:rPr>
          <w:szCs w:val="24"/>
        </w:rPr>
        <w:t>. Prekyba gamtinėmis dujomis vykdoma prekiaujant gamtinių dujų biržoje, dvišalių pirkimo–pardavimo sutarčių pagrindu ir (ar) kitais būdais šiame įstatyme, Gamtinių dujų įstatyme, Prekybos gamtinėmis dujomis taisy</w:t>
      </w:r>
      <w:r>
        <w:rPr>
          <w:szCs w:val="24"/>
        </w:rPr>
        <w:t>klėse, patvirtintose Vyriausybės ar jos įgaliotos institucijos, ir gamtinių dujų biržos operatoriaus Prekybos gamtinių dujų biržoje reglamente nustatyta tvarka.</w:t>
      </w:r>
    </w:p>
    <w:p w14:paraId="43584F6D" w14:textId="77777777" w:rsidR="00E571B8" w:rsidRDefault="008A6310">
      <w:pPr>
        <w:tabs>
          <w:tab w:val="left" w:pos="993"/>
        </w:tabs>
        <w:spacing w:line="360" w:lineRule="auto"/>
        <w:ind w:firstLine="720"/>
        <w:jc w:val="both"/>
        <w:rPr>
          <w:szCs w:val="24"/>
        </w:rPr>
      </w:pPr>
      <w:r>
        <w:rPr>
          <w:szCs w:val="24"/>
        </w:rPr>
        <w:t>2</w:t>
      </w:r>
      <w:r>
        <w:rPr>
          <w:szCs w:val="24"/>
        </w:rPr>
        <w:t>. Nepaisant prekybos gamtinėmis dujomis būdo, gamtinių dujų tiekėjams draudžiama diskrimin</w:t>
      </w:r>
      <w:r>
        <w:rPr>
          <w:szCs w:val="24"/>
        </w:rPr>
        <w:t>uoti vartotojus ar vartotojų kategorijas.</w:t>
      </w:r>
    </w:p>
    <w:p w14:paraId="43584F6E" w14:textId="77777777" w:rsidR="00E571B8" w:rsidRDefault="008A6310">
      <w:pPr>
        <w:tabs>
          <w:tab w:val="left" w:pos="993"/>
        </w:tabs>
        <w:spacing w:line="240" w:lineRule="atLeast"/>
        <w:ind w:firstLine="720"/>
        <w:jc w:val="both"/>
        <w:rPr>
          <w:szCs w:val="24"/>
        </w:rPr>
      </w:pPr>
    </w:p>
    <w:p w14:paraId="43584F6F" w14:textId="77777777" w:rsidR="00E571B8" w:rsidRDefault="008A6310">
      <w:pPr>
        <w:tabs>
          <w:tab w:val="left" w:pos="993"/>
        </w:tabs>
        <w:spacing w:line="360" w:lineRule="auto"/>
        <w:ind w:firstLine="720"/>
        <w:jc w:val="both"/>
        <w:rPr>
          <w:b/>
          <w:bCs/>
          <w:szCs w:val="24"/>
        </w:rPr>
      </w:pPr>
      <w:r>
        <w:rPr>
          <w:b/>
          <w:bCs/>
          <w:szCs w:val="24"/>
        </w:rPr>
        <w:t>23</w:t>
      </w:r>
      <w:r>
        <w:rPr>
          <w:b/>
          <w:bCs/>
          <w:szCs w:val="24"/>
        </w:rPr>
        <w:t xml:space="preserve"> straipsnis. </w:t>
      </w:r>
      <w:r>
        <w:rPr>
          <w:b/>
          <w:bCs/>
          <w:szCs w:val="24"/>
        </w:rPr>
        <w:t>Gamtinių dujų, naudojamų šilumos ir elektros gamybai, įsigijimas</w:t>
      </w:r>
    </w:p>
    <w:p w14:paraId="43584F70" w14:textId="77777777" w:rsidR="00E571B8" w:rsidRDefault="008A6310">
      <w:pPr>
        <w:tabs>
          <w:tab w:val="left" w:pos="993"/>
        </w:tabs>
        <w:spacing w:line="360" w:lineRule="auto"/>
        <w:ind w:firstLine="720"/>
        <w:jc w:val="both"/>
        <w:rPr>
          <w:szCs w:val="24"/>
        </w:rPr>
      </w:pPr>
      <w:r>
        <w:rPr>
          <w:szCs w:val="24"/>
        </w:rPr>
        <w:t>1</w:t>
      </w:r>
      <w:r>
        <w:rPr>
          <w:szCs w:val="24"/>
        </w:rPr>
        <w:t xml:space="preserve">. Šilumos tiekėjai, reguliuojami nepriklausomi šilumos gamintojai ir bendri šilumos ir elektros energijos gamintojai, </w:t>
      </w:r>
      <w:r>
        <w:rPr>
          <w:szCs w:val="24"/>
        </w:rPr>
        <w:t xml:space="preserve">kurie per metus reguliuojamai veiklai suvartoja 50 </w:t>
      </w:r>
      <w:proofErr w:type="spellStart"/>
      <w:r>
        <w:rPr>
          <w:szCs w:val="24"/>
        </w:rPr>
        <w:t>GWh</w:t>
      </w:r>
      <w:proofErr w:type="spellEnd"/>
      <w:r>
        <w:rPr>
          <w:szCs w:val="24"/>
        </w:rPr>
        <w:t xml:space="preserve"> gamtinių dujų ar daugiau, privalo gamtinių dujų biržoje per kalendorinius metus įsigyti ne mažiau kaip 50 procentų reguliuojamai elektros ir (ar) šilumos energijos gamybos veiklai reikalingo gamtinių d</w:t>
      </w:r>
      <w:r>
        <w:rPr>
          <w:szCs w:val="24"/>
        </w:rPr>
        <w:t>ujų kiekio. Vertinant šioje dalyje minimų ūkio subjektų metinį gamtinių dujų suvartojimą turi būti įskaičiuojamas ūkio subjekto, įskaitant jo filialus, atstovybes ir (ar) skirtingas gamtinių dujų pristatymo vietas,</w:t>
      </w:r>
      <w:r>
        <w:rPr>
          <w:b/>
          <w:szCs w:val="24"/>
        </w:rPr>
        <w:t xml:space="preserve"> </w:t>
      </w:r>
      <w:r>
        <w:rPr>
          <w:szCs w:val="24"/>
        </w:rPr>
        <w:t xml:space="preserve">suvartojamo gamtinių dujų kiekio metinis </w:t>
      </w:r>
      <w:r>
        <w:rPr>
          <w:szCs w:val="24"/>
        </w:rPr>
        <w:t>vidurkis per 2 praėjusius metus.</w:t>
      </w:r>
    </w:p>
    <w:p w14:paraId="43584F71" w14:textId="77777777" w:rsidR="00E571B8" w:rsidRDefault="008A6310">
      <w:pPr>
        <w:tabs>
          <w:tab w:val="left" w:pos="993"/>
        </w:tabs>
        <w:spacing w:line="360" w:lineRule="auto"/>
        <w:ind w:firstLine="720"/>
        <w:jc w:val="both"/>
        <w:rPr>
          <w:szCs w:val="24"/>
        </w:rPr>
      </w:pPr>
      <w:r>
        <w:rPr>
          <w:szCs w:val="24"/>
        </w:rPr>
        <w:t>2</w:t>
      </w:r>
      <w:r>
        <w:rPr>
          <w:szCs w:val="24"/>
        </w:rPr>
        <w:t xml:space="preserve">. Šio straipsnio 1 dalyje išdėstytas reikalavimas netaikomas šio straipsnio 1 dalyje nurodytoms energetikos įmonėms, jeigu gamtinių dujų biržoje dėl objektyvių priežasčių nebuvo galima įsigyti reikalingo gamtinių dujų </w:t>
      </w:r>
      <w:r>
        <w:rPr>
          <w:szCs w:val="24"/>
        </w:rPr>
        <w:t>kiekio ar jo dalies. Trūkstamas gamtinių dujų kiekis gali būti įsigyjamas kitais teisės aktuose reglamentuotais pirkimo būdais.</w:t>
      </w:r>
    </w:p>
    <w:p w14:paraId="43584F72" w14:textId="77777777" w:rsidR="00E571B8" w:rsidRDefault="008A6310">
      <w:pPr>
        <w:tabs>
          <w:tab w:val="left" w:pos="993"/>
        </w:tabs>
        <w:spacing w:line="360" w:lineRule="auto"/>
        <w:ind w:firstLine="720"/>
        <w:jc w:val="both"/>
        <w:rPr>
          <w:szCs w:val="24"/>
        </w:rPr>
      </w:pPr>
    </w:p>
    <w:p w14:paraId="43584F73" w14:textId="77777777" w:rsidR="00E571B8" w:rsidRDefault="008A6310">
      <w:pPr>
        <w:spacing w:line="360" w:lineRule="auto"/>
        <w:ind w:firstLine="720"/>
        <w:rPr>
          <w:b/>
          <w:bCs/>
          <w:szCs w:val="24"/>
        </w:rPr>
      </w:pPr>
      <w:r>
        <w:rPr>
          <w:b/>
          <w:bCs/>
          <w:szCs w:val="24"/>
        </w:rPr>
        <w:t>24</w:t>
      </w:r>
      <w:r>
        <w:rPr>
          <w:b/>
          <w:bCs/>
          <w:szCs w:val="24"/>
        </w:rPr>
        <w:t xml:space="preserve"> straipsnis. </w:t>
      </w:r>
      <w:r>
        <w:rPr>
          <w:b/>
          <w:bCs/>
          <w:szCs w:val="24"/>
        </w:rPr>
        <w:t>Bendradarbiavimas prekiaujant gamtinėmis dujomis</w:t>
      </w:r>
    </w:p>
    <w:p w14:paraId="43584F74" w14:textId="77777777" w:rsidR="00E571B8" w:rsidRDefault="008A6310">
      <w:pPr>
        <w:spacing w:line="360" w:lineRule="auto"/>
        <w:ind w:firstLine="720"/>
        <w:jc w:val="both"/>
        <w:rPr>
          <w:bCs/>
          <w:szCs w:val="24"/>
        </w:rPr>
      </w:pPr>
      <w:r>
        <w:rPr>
          <w:szCs w:val="24"/>
        </w:rPr>
        <w:t>1</w:t>
      </w:r>
      <w:r>
        <w:rPr>
          <w:szCs w:val="24"/>
        </w:rPr>
        <w:t xml:space="preserve">. Gamtinių dujų biržos operatorius Prekybos </w:t>
      </w:r>
      <w:r>
        <w:rPr>
          <w:szCs w:val="24"/>
        </w:rPr>
        <w:t>gamtinėmis dujomis taisyklėse ir gamtinių dujų biržos operatoriaus Prekybos gamtinių dujų biržoje reglamente nustatyta tvarka bendradarbiauja su Komisija ir nedelsdamas Komisijai pateikia su galimai apsimestiniais prekybos gamtinėmis dujomis sandoriais sus</w:t>
      </w:r>
      <w:r>
        <w:rPr>
          <w:szCs w:val="24"/>
        </w:rPr>
        <w:t>ijusią informaciją ir bet kurią kitą aktualią informaciją, kuri būtų reikalinga gamtinių dujų rinkos priežiūrai vykdyti, ypač susijusią su</w:t>
      </w:r>
      <w:r>
        <w:rPr>
          <w:bCs/>
          <w:szCs w:val="24"/>
        </w:rPr>
        <w:t xml:space="preserve"> licencijų ir (ar) leidimų turėtojams nustatytų veiklos sąlygų galimais pažeidimais.</w:t>
      </w:r>
    </w:p>
    <w:p w14:paraId="43584F75" w14:textId="77777777" w:rsidR="00E571B8" w:rsidRDefault="008A6310">
      <w:pPr>
        <w:spacing w:line="360" w:lineRule="auto"/>
        <w:ind w:firstLine="720"/>
        <w:jc w:val="both"/>
        <w:rPr>
          <w:szCs w:val="24"/>
        </w:rPr>
      </w:pPr>
      <w:r>
        <w:rPr>
          <w:szCs w:val="24"/>
        </w:rPr>
        <w:t>2</w:t>
      </w:r>
      <w:r>
        <w:rPr>
          <w:szCs w:val="24"/>
        </w:rPr>
        <w:t>. Gamtinių dujų biržos opera</w:t>
      </w:r>
      <w:r>
        <w:rPr>
          <w:szCs w:val="24"/>
        </w:rPr>
        <w:t xml:space="preserve">torius ir gamtinių dujų perdavimo sistemos operatorius pagal kompetenciją teisės aktų nustatyta tvarka ir sąlygomis tarpusavyje bendradarbiauja ir </w:t>
      </w:r>
      <w:r>
        <w:rPr>
          <w:szCs w:val="24"/>
        </w:rPr>
        <w:lastRenderedPageBreak/>
        <w:t>keičiasi visa informacija, kiek tai reikalinga jų funkcijoms tinkamai atlikti, nepažeisdami įstatymuose nusta</w:t>
      </w:r>
      <w:r>
        <w:rPr>
          <w:szCs w:val="24"/>
        </w:rPr>
        <w:t>tytų veiklos nepriklausomumo ir atskyrimo reikalavimų. Keisdamiesi informacija, gamtinių dujų</w:t>
      </w:r>
      <w:r>
        <w:rPr>
          <w:b/>
          <w:szCs w:val="24"/>
        </w:rPr>
        <w:t xml:space="preserve"> </w:t>
      </w:r>
      <w:r>
        <w:rPr>
          <w:szCs w:val="24"/>
        </w:rPr>
        <w:t>biržos operatorius ir gamtinių dujų perdavimo sistemos operatorius imasi visų pagrįstų priemonių atskirų gamtinių dujų rinkos dalyvių duomenų konfidencialumui užt</w:t>
      </w:r>
      <w:r>
        <w:rPr>
          <w:szCs w:val="24"/>
        </w:rPr>
        <w:t>ikrinti ir neatskleidžia jų kitais, negu įstatymuose nustatytais, pagrindais, kiek tai reikalinga gamtinių dujų rinkos ir (ar) valstybės energetinės sistemos reikmėms.“</w:t>
      </w:r>
    </w:p>
    <w:p w14:paraId="43584F76" w14:textId="77777777" w:rsidR="00E571B8" w:rsidRDefault="008A6310">
      <w:pPr>
        <w:spacing w:line="240" w:lineRule="exact"/>
        <w:ind w:firstLine="720"/>
        <w:jc w:val="both"/>
        <w:rPr>
          <w:szCs w:val="24"/>
        </w:rPr>
      </w:pPr>
    </w:p>
    <w:p w14:paraId="43584F77" w14:textId="77777777" w:rsidR="00E571B8" w:rsidRDefault="008A6310">
      <w:pPr>
        <w:tabs>
          <w:tab w:val="left" w:pos="993"/>
        </w:tabs>
        <w:spacing w:line="360" w:lineRule="auto"/>
        <w:ind w:firstLine="720"/>
        <w:jc w:val="both"/>
        <w:rPr>
          <w:b/>
          <w:bCs/>
          <w:szCs w:val="24"/>
        </w:rPr>
      </w:pPr>
      <w:r>
        <w:rPr>
          <w:b/>
          <w:bCs/>
          <w:szCs w:val="24"/>
        </w:rPr>
        <w:t>6</w:t>
      </w:r>
      <w:r>
        <w:rPr>
          <w:b/>
          <w:bCs/>
          <w:szCs w:val="24"/>
        </w:rPr>
        <w:t xml:space="preserve"> straipsnis. </w:t>
      </w:r>
      <w:r>
        <w:rPr>
          <w:b/>
          <w:bCs/>
          <w:szCs w:val="24"/>
        </w:rPr>
        <w:t>Septintojo skirsnio pakeitimas</w:t>
      </w:r>
    </w:p>
    <w:p w14:paraId="43584F78" w14:textId="77777777" w:rsidR="00E571B8" w:rsidRDefault="008A6310">
      <w:pPr>
        <w:spacing w:line="360" w:lineRule="auto"/>
        <w:ind w:firstLine="720"/>
        <w:jc w:val="both"/>
        <w:rPr>
          <w:bCs/>
          <w:szCs w:val="24"/>
        </w:rPr>
      </w:pPr>
      <w:r>
        <w:rPr>
          <w:bCs/>
          <w:szCs w:val="24"/>
        </w:rPr>
        <w:t>Pakeisti septintąjį skirs</w:t>
      </w:r>
      <w:r>
        <w:rPr>
          <w:bCs/>
          <w:szCs w:val="24"/>
        </w:rPr>
        <w:t>nį ir jį išdėstyti taip:</w:t>
      </w:r>
    </w:p>
    <w:p w14:paraId="43584F79" w14:textId="77777777" w:rsidR="00E571B8" w:rsidRDefault="00E571B8">
      <w:pPr>
        <w:spacing w:line="240" w:lineRule="atLeast"/>
        <w:ind w:firstLine="720"/>
        <w:jc w:val="both"/>
        <w:rPr>
          <w:bCs/>
          <w:szCs w:val="24"/>
        </w:rPr>
      </w:pPr>
    </w:p>
    <w:p w14:paraId="43584F7A" w14:textId="77777777" w:rsidR="00E571B8" w:rsidRDefault="008A6310">
      <w:pPr>
        <w:spacing w:line="360" w:lineRule="auto"/>
        <w:jc w:val="center"/>
        <w:rPr>
          <w:color w:val="000000"/>
          <w:szCs w:val="24"/>
          <w:lang w:eastAsia="lt-LT"/>
        </w:rPr>
      </w:pPr>
      <w:r>
        <w:rPr>
          <w:bCs/>
          <w:szCs w:val="24"/>
        </w:rPr>
        <w:t>„</w:t>
      </w:r>
      <w:r>
        <w:rPr>
          <w:b/>
          <w:bCs/>
          <w:caps/>
          <w:color w:val="000000"/>
          <w:szCs w:val="24"/>
          <w:lang w:eastAsia="lt-LT"/>
        </w:rPr>
        <w:t>SEPTINTASIS</w:t>
      </w:r>
      <w:r>
        <w:rPr>
          <w:b/>
          <w:bCs/>
          <w:caps/>
          <w:color w:val="000000"/>
          <w:szCs w:val="24"/>
          <w:lang w:eastAsia="lt-LT"/>
        </w:rPr>
        <w:t xml:space="preserve"> SKIRSNIS</w:t>
      </w:r>
    </w:p>
    <w:p w14:paraId="43584F7B" w14:textId="77777777" w:rsidR="00E571B8" w:rsidRDefault="008A6310">
      <w:pPr>
        <w:spacing w:line="360" w:lineRule="auto"/>
        <w:jc w:val="center"/>
        <w:rPr>
          <w:color w:val="000000"/>
          <w:szCs w:val="24"/>
          <w:lang w:eastAsia="lt-LT"/>
        </w:rPr>
      </w:pPr>
      <w:r>
        <w:rPr>
          <w:b/>
          <w:bCs/>
          <w:caps/>
          <w:color w:val="000000"/>
          <w:szCs w:val="24"/>
          <w:lang w:eastAsia="lt-LT"/>
        </w:rPr>
        <w:t>PREKYBA PAGALBINIAIS INSTRUMENTAIS</w:t>
      </w:r>
    </w:p>
    <w:p w14:paraId="43584F7C" w14:textId="77777777" w:rsidR="00E571B8" w:rsidRDefault="00E571B8">
      <w:pPr>
        <w:spacing w:line="240" w:lineRule="exact"/>
        <w:ind w:firstLine="720"/>
        <w:jc w:val="both"/>
        <w:rPr>
          <w:bCs/>
          <w:szCs w:val="24"/>
        </w:rPr>
      </w:pPr>
    </w:p>
    <w:p w14:paraId="43584F7D" w14:textId="77777777" w:rsidR="00E571B8" w:rsidRDefault="008A6310">
      <w:pPr>
        <w:spacing w:line="360" w:lineRule="auto"/>
        <w:ind w:firstLine="720"/>
        <w:jc w:val="both"/>
        <w:rPr>
          <w:b/>
          <w:bCs/>
          <w:szCs w:val="24"/>
        </w:rPr>
      </w:pPr>
      <w:r>
        <w:rPr>
          <w:b/>
          <w:bCs/>
          <w:szCs w:val="24"/>
        </w:rPr>
        <w:t>25</w:t>
      </w:r>
      <w:r>
        <w:rPr>
          <w:b/>
          <w:bCs/>
          <w:szCs w:val="24"/>
        </w:rPr>
        <w:t xml:space="preserve"> straipsnis. </w:t>
      </w:r>
      <w:r>
        <w:rPr>
          <w:b/>
          <w:bCs/>
          <w:szCs w:val="24"/>
        </w:rPr>
        <w:t>Prekybos pagalbiniais instrumentais bendrieji principai</w:t>
      </w:r>
    </w:p>
    <w:p w14:paraId="43584F7E" w14:textId="77777777" w:rsidR="00E571B8" w:rsidRDefault="008A6310">
      <w:pPr>
        <w:spacing w:line="360" w:lineRule="auto"/>
        <w:ind w:firstLine="720"/>
        <w:jc w:val="both"/>
        <w:rPr>
          <w:szCs w:val="24"/>
        </w:rPr>
      </w:pPr>
      <w:r>
        <w:rPr>
          <w:szCs w:val="24"/>
        </w:rPr>
        <w:t>1</w:t>
      </w:r>
      <w:r>
        <w:rPr>
          <w:szCs w:val="24"/>
        </w:rPr>
        <w:t xml:space="preserve">. Elektros energijos rinkos dalyviai gali susitarti dėl pagalbinių instrumentų taikymo ir </w:t>
      </w:r>
      <w:r>
        <w:rPr>
          <w:szCs w:val="24"/>
        </w:rPr>
        <w:t>prekybos jais, sudarydami ilgalaikes pirkimo–pardavimo sutartis, kuriomis susitariama dėl perkamo ir parduodamo elektros energijos kiekio ir kainos pokyčių valdymo priemonių taikymo per sutartyje nustatytą laikotarpį.</w:t>
      </w:r>
    </w:p>
    <w:p w14:paraId="43584F7F" w14:textId="77777777" w:rsidR="00E571B8" w:rsidRDefault="008A6310">
      <w:pPr>
        <w:spacing w:line="360" w:lineRule="auto"/>
        <w:ind w:firstLine="720"/>
        <w:jc w:val="both"/>
        <w:rPr>
          <w:szCs w:val="24"/>
        </w:rPr>
      </w:pPr>
      <w:r>
        <w:rPr>
          <w:szCs w:val="24"/>
        </w:rPr>
        <w:t>2</w:t>
      </w:r>
      <w:r>
        <w:rPr>
          <w:szCs w:val="24"/>
        </w:rPr>
        <w:t>. Tais atvejais, kai elektros ene</w:t>
      </w:r>
      <w:r>
        <w:rPr>
          <w:szCs w:val="24"/>
        </w:rPr>
        <w:t>rgija prekiaujama elektros energijos biržoje, šio straipsnio 1 dalyje nurodytos sutartys turi būti sudaromos per energijos išteklių biržą. Kitais atvejais tokias sutartis asmenys savo pasirinkimu sudaro tiesiogiai dvišalio susitarimo pagrindu arba per ener</w:t>
      </w:r>
      <w:r>
        <w:rPr>
          <w:szCs w:val="24"/>
        </w:rPr>
        <w:t>gijos išteklių biržą.</w:t>
      </w:r>
    </w:p>
    <w:p w14:paraId="43584F80" w14:textId="77777777" w:rsidR="00E571B8" w:rsidRDefault="008A6310">
      <w:pPr>
        <w:widowControl w:val="0"/>
        <w:suppressAutoHyphens/>
        <w:spacing w:line="360" w:lineRule="auto"/>
        <w:ind w:firstLine="720"/>
        <w:jc w:val="both"/>
        <w:rPr>
          <w:color w:val="000000"/>
          <w:szCs w:val="24"/>
        </w:rPr>
      </w:pPr>
      <w:r>
        <w:rPr>
          <w:color w:val="000000"/>
          <w:szCs w:val="24"/>
        </w:rPr>
        <w:t>3</w:t>
      </w:r>
      <w:r>
        <w:rPr>
          <w:color w:val="000000"/>
          <w:szCs w:val="24"/>
        </w:rPr>
        <w:t>. Susitarimai dėl pagalbinių instrumentų taikymo ir prekybos jais sudaromi vadovaujantis šiuo įstatymu ir Prekybos pagalbiniais apsaugos nuo energijos kainų svyravimo instrumentais taisyklėmis.</w:t>
      </w:r>
    </w:p>
    <w:p w14:paraId="43584F81" w14:textId="77777777" w:rsidR="00E571B8" w:rsidRDefault="008A6310">
      <w:pPr>
        <w:tabs>
          <w:tab w:val="left" w:pos="1701"/>
        </w:tabs>
        <w:spacing w:line="360" w:lineRule="auto"/>
        <w:ind w:firstLine="720"/>
        <w:jc w:val="both"/>
        <w:rPr>
          <w:szCs w:val="24"/>
        </w:rPr>
      </w:pPr>
      <w:r>
        <w:rPr>
          <w:szCs w:val="24"/>
        </w:rPr>
        <w:t>4</w:t>
      </w:r>
      <w:r>
        <w:rPr>
          <w:szCs w:val="24"/>
        </w:rPr>
        <w:t>. Pagalbiniais instrumentais p</w:t>
      </w:r>
      <w:r>
        <w:rPr>
          <w:szCs w:val="24"/>
        </w:rPr>
        <w:t>rekiaujama atskirai nuo fizinės prekybos elektros energija.</w:t>
      </w:r>
    </w:p>
    <w:p w14:paraId="43584F82" w14:textId="77777777" w:rsidR="00E571B8" w:rsidRDefault="008A6310">
      <w:pPr>
        <w:tabs>
          <w:tab w:val="left" w:pos="993"/>
        </w:tabs>
        <w:spacing w:line="240" w:lineRule="atLeast"/>
        <w:ind w:firstLine="720"/>
        <w:jc w:val="both"/>
        <w:rPr>
          <w:bCs/>
          <w:szCs w:val="24"/>
        </w:rPr>
      </w:pPr>
    </w:p>
    <w:p w14:paraId="43584F83" w14:textId="77777777" w:rsidR="00E571B8" w:rsidRDefault="008A6310">
      <w:pPr>
        <w:tabs>
          <w:tab w:val="left" w:pos="993"/>
        </w:tabs>
        <w:spacing w:line="360" w:lineRule="auto"/>
        <w:ind w:firstLine="720"/>
        <w:jc w:val="both"/>
        <w:rPr>
          <w:b/>
          <w:szCs w:val="24"/>
        </w:rPr>
      </w:pPr>
      <w:r>
        <w:rPr>
          <w:b/>
          <w:bCs/>
          <w:szCs w:val="24"/>
        </w:rPr>
        <w:t>26</w:t>
      </w:r>
      <w:r>
        <w:rPr>
          <w:b/>
          <w:bCs/>
          <w:szCs w:val="24"/>
        </w:rPr>
        <w:t xml:space="preserve"> straipsnis. </w:t>
      </w:r>
      <w:r>
        <w:rPr>
          <w:b/>
          <w:bCs/>
          <w:szCs w:val="24"/>
        </w:rPr>
        <w:t>Prekyba pagalbiniais instrumentais energijos išteklių biržoje</w:t>
      </w:r>
    </w:p>
    <w:p w14:paraId="43584F84" w14:textId="77777777" w:rsidR="00E571B8" w:rsidRDefault="008A6310">
      <w:pPr>
        <w:spacing w:line="360" w:lineRule="auto"/>
        <w:ind w:firstLine="720"/>
        <w:jc w:val="both"/>
        <w:rPr>
          <w:color w:val="000000"/>
          <w:szCs w:val="24"/>
          <w:lang w:eastAsia="lt-LT"/>
        </w:rPr>
      </w:pPr>
      <w:r>
        <w:rPr>
          <w:color w:val="000000"/>
          <w:szCs w:val="24"/>
          <w:lang w:eastAsia="lt-LT"/>
        </w:rPr>
        <w:t>1</w:t>
      </w:r>
      <w:r>
        <w:rPr>
          <w:color w:val="000000"/>
          <w:szCs w:val="24"/>
          <w:lang w:eastAsia="lt-LT"/>
        </w:rPr>
        <w:t>. Energijos išteklių biržos operatorius energijos išteklių biržos duomenų valdymo sistemoje registruoja per</w:t>
      </w:r>
      <w:r>
        <w:rPr>
          <w:color w:val="000000"/>
          <w:szCs w:val="24"/>
          <w:lang w:eastAsia="lt-LT"/>
        </w:rPr>
        <w:t xml:space="preserve"> energijos išteklių biržą sudarytas ilgalaikes pirkimo–pardavimo sutartis, kuriomis susitariama dėl pagalbinių instrumentų taikymo ir prekybos jais.</w:t>
      </w:r>
    </w:p>
    <w:p w14:paraId="43584F85" w14:textId="77777777" w:rsidR="00E571B8" w:rsidRDefault="008A6310">
      <w:pPr>
        <w:spacing w:line="360" w:lineRule="auto"/>
        <w:ind w:firstLine="720"/>
        <w:jc w:val="both"/>
        <w:rPr>
          <w:color w:val="000000"/>
          <w:szCs w:val="24"/>
          <w:lang w:eastAsia="lt-LT"/>
        </w:rPr>
      </w:pPr>
      <w:r>
        <w:rPr>
          <w:color w:val="000000"/>
          <w:szCs w:val="24"/>
          <w:lang w:eastAsia="lt-LT"/>
        </w:rPr>
        <w:t>2</w:t>
      </w:r>
      <w:r>
        <w:rPr>
          <w:color w:val="000000"/>
          <w:szCs w:val="24"/>
          <w:lang w:eastAsia="lt-LT"/>
        </w:rPr>
        <w:t>. Šio straipsnio 1 dalyje nurodytas sutartis energijos išteklių biržos dalyviai gali sudaryti tarpusav</w:t>
      </w:r>
      <w:r>
        <w:rPr>
          <w:color w:val="000000"/>
          <w:szCs w:val="24"/>
          <w:lang w:eastAsia="lt-LT"/>
        </w:rPr>
        <w:t>io susitarimu, jeigu energijos išteklių biržos operatoriui pateikiamas tokį ketinimą patvirtinantis abiejų šalių pranešimas, arba teikdami viešą pasiūlymą sudaryti tokią sutartį, kuris skelbiamas energijos išteklių biržos duomenų valdymo sistemoje.</w:t>
      </w:r>
    </w:p>
    <w:p w14:paraId="43584F86" w14:textId="77777777" w:rsidR="00E571B8" w:rsidRDefault="008A6310">
      <w:pPr>
        <w:spacing w:line="360" w:lineRule="auto"/>
        <w:ind w:firstLine="720"/>
        <w:jc w:val="both"/>
        <w:rPr>
          <w:szCs w:val="24"/>
        </w:rPr>
      </w:pPr>
      <w:r>
        <w:rPr>
          <w:szCs w:val="24"/>
        </w:rPr>
        <w:t>3</w:t>
      </w:r>
      <w:r>
        <w:rPr>
          <w:szCs w:val="24"/>
        </w:rPr>
        <w:t xml:space="preserve">. </w:t>
      </w:r>
      <w:r>
        <w:rPr>
          <w:szCs w:val="24"/>
        </w:rPr>
        <w:t>Energijos išteklių biržos dalyviai, ketinantys prekiauti pagalbiniais instrumentais energijos išteklių biržoje, deklaruoja energijos išteklių biržos operatoriui pagal dvišales pirkimo–pardavimo sutartis ir (ar) elektros energijos biržoje perkamus ir parduo</w:t>
      </w:r>
      <w:r>
        <w:rPr>
          <w:szCs w:val="24"/>
        </w:rPr>
        <w:t>damus elektros energijos kiekius ir pateikia kitos sutarties šalies ar energijos išteklių biržą administruojančio asmens rašytinį patvirtinimą. Energijos išteklių biržos dalyvių pateikti duomenys registruojami energijos išteklių biržos duomenų valdymo sist</w:t>
      </w:r>
      <w:r>
        <w:rPr>
          <w:szCs w:val="24"/>
        </w:rPr>
        <w:t>emoje.</w:t>
      </w:r>
    </w:p>
    <w:p w14:paraId="43584F87" w14:textId="77777777" w:rsidR="00E571B8" w:rsidRDefault="008A6310">
      <w:pPr>
        <w:spacing w:line="360" w:lineRule="auto"/>
        <w:ind w:firstLine="720"/>
        <w:jc w:val="both"/>
        <w:rPr>
          <w:szCs w:val="24"/>
        </w:rPr>
      </w:pPr>
      <w:r>
        <w:rPr>
          <w:szCs w:val="24"/>
        </w:rPr>
        <w:t>4</w:t>
      </w:r>
      <w:r>
        <w:rPr>
          <w:szCs w:val="24"/>
        </w:rPr>
        <w:t>. Energijos išteklių biržos dalyvių pateikti duomenys yra konfidencialūs ir gali būti atskleisti tretiesiems asmenims tik teisės aktų nustatyta tvarka, išskyrus apibendrintus duomenis apie ilgalaikių pirkimo–pardavimo sutarčių, sudaromų per ene</w:t>
      </w:r>
      <w:r>
        <w:rPr>
          <w:szCs w:val="24"/>
        </w:rPr>
        <w:t>rgijos išteklių biržą, pagrindu perkamus ir parduodamus elektros energijos kiekius ir kainas, kurie apibendrintai ir nenurodant sutarties šalių skelbiami energijos išteklių biržos operatoriaus informacinėje sistemoje.</w:t>
      </w:r>
    </w:p>
    <w:p w14:paraId="43584F88" w14:textId="77777777" w:rsidR="00E571B8" w:rsidRDefault="008A6310">
      <w:pPr>
        <w:widowControl w:val="0"/>
        <w:suppressAutoHyphens/>
        <w:spacing w:line="360" w:lineRule="auto"/>
        <w:ind w:firstLine="720"/>
        <w:jc w:val="both"/>
        <w:rPr>
          <w:color w:val="000000"/>
          <w:szCs w:val="24"/>
        </w:rPr>
      </w:pPr>
      <w:r>
        <w:rPr>
          <w:color w:val="000000"/>
          <w:szCs w:val="24"/>
        </w:rPr>
        <w:t>5</w:t>
      </w:r>
      <w:r>
        <w:rPr>
          <w:color w:val="000000"/>
          <w:szCs w:val="24"/>
        </w:rPr>
        <w:t>. Procedūriniai reikalavimai prek</w:t>
      </w:r>
      <w:r>
        <w:rPr>
          <w:color w:val="000000"/>
          <w:szCs w:val="24"/>
        </w:rPr>
        <w:t>ybai pagalbiniais instrumentais energijos išteklių biržoje nustatomi Energijos išteklių biržos reglamente.</w:t>
      </w:r>
    </w:p>
    <w:p w14:paraId="43584F89" w14:textId="77777777" w:rsidR="00E571B8" w:rsidRDefault="008A6310">
      <w:pPr>
        <w:spacing w:line="240" w:lineRule="atLeast"/>
        <w:ind w:firstLine="720"/>
        <w:jc w:val="both"/>
        <w:rPr>
          <w:bCs/>
          <w:szCs w:val="24"/>
        </w:rPr>
      </w:pPr>
    </w:p>
    <w:p w14:paraId="43584F8A" w14:textId="77777777" w:rsidR="00E571B8" w:rsidRDefault="008A6310">
      <w:pPr>
        <w:spacing w:line="360" w:lineRule="auto"/>
        <w:ind w:firstLine="720"/>
        <w:jc w:val="both"/>
        <w:rPr>
          <w:b/>
          <w:bCs/>
          <w:szCs w:val="24"/>
        </w:rPr>
      </w:pPr>
      <w:r>
        <w:rPr>
          <w:b/>
          <w:bCs/>
          <w:szCs w:val="24"/>
        </w:rPr>
        <w:t>27</w:t>
      </w:r>
      <w:r>
        <w:rPr>
          <w:b/>
          <w:bCs/>
          <w:szCs w:val="24"/>
        </w:rPr>
        <w:t xml:space="preserve"> straipsnis. </w:t>
      </w:r>
      <w:r>
        <w:rPr>
          <w:b/>
          <w:bCs/>
          <w:szCs w:val="24"/>
        </w:rPr>
        <w:t>Bendradarbiavimas prekiaujant pagalbiniais instrumentais</w:t>
      </w:r>
    </w:p>
    <w:p w14:paraId="43584F8B" w14:textId="77777777" w:rsidR="00E571B8" w:rsidRDefault="008A6310">
      <w:pPr>
        <w:spacing w:line="360" w:lineRule="auto"/>
        <w:ind w:firstLine="720"/>
        <w:jc w:val="both"/>
        <w:rPr>
          <w:szCs w:val="24"/>
        </w:rPr>
      </w:pPr>
      <w:r>
        <w:rPr>
          <w:szCs w:val="24"/>
        </w:rPr>
        <w:t>1</w:t>
      </w:r>
      <w:r>
        <w:rPr>
          <w:szCs w:val="24"/>
        </w:rPr>
        <w:t>. Energijos išteklių biržos operatorius, elektros energijos biržą</w:t>
      </w:r>
      <w:r>
        <w:rPr>
          <w:szCs w:val="24"/>
        </w:rPr>
        <w:t xml:space="preserve"> administruojantys asmenys, taip pat elektros energijos perdavimo sistemų operatorius pagal kompetenciją teisės aktų nustatyta tvarka tarpusavyje bendradarbiauja ir keičiasi visa informacija, kiek tai reikalinga jų funkcijoms tinkamai atlikti, nepažeisdami</w:t>
      </w:r>
      <w:r>
        <w:rPr>
          <w:szCs w:val="24"/>
        </w:rPr>
        <w:t xml:space="preserve"> įstatymuose nustatytų veiklos nepriklausomumo ir atskyrimo reikalavimų.</w:t>
      </w:r>
    </w:p>
    <w:p w14:paraId="43584F8C" w14:textId="77777777" w:rsidR="00E571B8" w:rsidRDefault="008A6310">
      <w:pPr>
        <w:spacing w:line="360" w:lineRule="auto"/>
        <w:ind w:firstLine="720"/>
        <w:jc w:val="both"/>
        <w:rPr>
          <w:szCs w:val="24"/>
        </w:rPr>
      </w:pPr>
      <w:r>
        <w:rPr>
          <w:szCs w:val="24"/>
        </w:rPr>
        <w:t>2</w:t>
      </w:r>
      <w:r>
        <w:rPr>
          <w:szCs w:val="24"/>
        </w:rPr>
        <w:t>. Keisdamiesi informacija šiame straipsnyje nustatytais tikslais ir mastu, energijos išteklių biržos operatorius, elektros energijos biržą administruojantys asmenys, taip pat ele</w:t>
      </w:r>
      <w:r>
        <w:rPr>
          <w:szCs w:val="24"/>
        </w:rPr>
        <w:t>ktros energijos operatorius imasi visų pagrįstų priemonių gaunamų duomenų konfidencialumui užtikrinti ir neatskleidžia jų kitais, negu įstatymuose nustatytais, pagrindais, kiek tai reikalinga energijos išteklių rinkos, elektros energijos rinkos ir (ar) val</w:t>
      </w:r>
      <w:r>
        <w:rPr>
          <w:szCs w:val="24"/>
        </w:rPr>
        <w:t>stybės energetinės sistemos reikmėms.“</w:t>
      </w:r>
    </w:p>
    <w:p w14:paraId="43584F8D" w14:textId="77777777" w:rsidR="00E571B8" w:rsidRDefault="008A6310">
      <w:pPr>
        <w:tabs>
          <w:tab w:val="left" w:pos="993"/>
        </w:tabs>
        <w:spacing w:line="240" w:lineRule="atLeast"/>
        <w:ind w:firstLine="720"/>
        <w:jc w:val="both"/>
        <w:rPr>
          <w:szCs w:val="24"/>
        </w:rPr>
      </w:pPr>
    </w:p>
    <w:p w14:paraId="43584F8E" w14:textId="77777777" w:rsidR="00E571B8" w:rsidRDefault="008A6310">
      <w:pPr>
        <w:spacing w:line="360" w:lineRule="auto"/>
        <w:ind w:firstLine="720"/>
        <w:jc w:val="both"/>
        <w:rPr>
          <w:b/>
          <w:szCs w:val="24"/>
        </w:rPr>
      </w:pPr>
      <w:r>
        <w:rPr>
          <w:b/>
          <w:szCs w:val="24"/>
        </w:rPr>
        <w:t>7</w:t>
      </w:r>
      <w:r>
        <w:rPr>
          <w:b/>
          <w:szCs w:val="24"/>
        </w:rPr>
        <w:t xml:space="preserve"> straipsnis. </w:t>
      </w:r>
      <w:r>
        <w:rPr>
          <w:b/>
          <w:szCs w:val="24"/>
        </w:rPr>
        <w:t>Įstatymo įsigaliojimas, įgyvendinimas ir taikymas</w:t>
      </w:r>
    </w:p>
    <w:p w14:paraId="43584F8F" w14:textId="77777777" w:rsidR="00E571B8" w:rsidRDefault="008A6310">
      <w:pPr>
        <w:tabs>
          <w:tab w:val="left" w:pos="993"/>
        </w:tabs>
        <w:spacing w:line="360" w:lineRule="auto"/>
        <w:ind w:firstLine="720"/>
        <w:jc w:val="both"/>
        <w:rPr>
          <w:szCs w:val="24"/>
        </w:rPr>
      </w:pPr>
      <w:r>
        <w:rPr>
          <w:szCs w:val="24"/>
        </w:rPr>
        <w:t>1</w:t>
      </w:r>
      <w:r>
        <w:rPr>
          <w:szCs w:val="24"/>
        </w:rPr>
        <w:t>. Šis įstatymas, išskyrus šio straipsnio 3 dalį, įsigalioja 2019 m. sausio 1 d.</w:t>
      </w:r>
    </w:p>
    <w:p w14:paraId="43584F90" w14:textId="77777777" w:rsidR="00E571B8" w:rsidRDefault="008A6310">
      <w:pPr>
        <w:tabs>
          <w:tab w:val="left" w:pos="993"/>
        </w:tabs>
        <w:spacing w:line="360" w:lineRule="auto"/>
        <w:ind w:firstLine="720"/>
        <w:jc w:val="both"/>
        <w:rPr>
          <w:szCs w:val="24"/>
        </w:rPr>
      </w:pPr>
      <w:r>
        <w:rPr>
          <w:szCs w:val="24"/>
        </w:rPr>
        <w:t>2</w:t>
      </w:r>
      <w:r>
        <w:rPr>
          <w:szCs w:val="24"/>
        </w:rPr>
        <w:t>. Lietuvos Respublikos Vyriausybė iki 2019 m. ru</w:t>
      </w:r>
      <w:r>
        <w:rPr>
          <w:szCs w:val="24"/>
        </w:rPr>
        <w:t>gpjūčio 1 d. įvertina šio įstatymo 5 straipsniu keičiamo Lietuvos Respublikos energijos išteklių rinkos įstatymo 23 straipsnio 1 dalyje nustatomo teisinio reguliavimo poveikį ir prireikus iki 2019 m. spalio 1 d. pateikia Lietuvos Respublikos Seimui pasiūly</w:t>
      </w:r>
      <w:r>
        <w:rPr>
          <w:szCs w:val="24"/>
        </w:rPr>
        <w:t>mus dėl teisinio reguliavimo tobulinimo.</w:t>
      </w:r>
    </w:p>
    <w:p w14:paraId="43584F91" w14:textId="77777777" w:rsidR="00E571B8" w:rsidRDefault="008A6310">
      <w:pPr>
        <w:tabs>
          <w:tab w:val="left" w:pos="993"/>
        </w:tabs>
        <w:spacing w:line="360" w:lineRule="auto"/>
        <w:ind w:firstLine="720"/>
        <w:jc w:val="both"/>
        <w:rPr>
          <w:szCs w:val="24"/>
        </w:rPr>
      </w:pPr>
      <w:r>
        <w:rPr>
          <w:szCs w:val="24"/>
        </w:rPr>
        <w:t>3</w:t>
      </w:r>
      <w:r>
        <w:rPr>
          <w:szCs w:val="24"/>
        </w:rPr>
        <w:t xml:space="preserve">. </w:t>
      </w:r>
      <w:r>
        <w:rPr>
          <w:color w:val="000000"/>
          <w:szCs w:val="24"/>
        </w:rPr>
        <w:t>Lietuvos Respublikos Vyriausybė ir Valstybinė kainų ir energetikos kontrolės komisija iki 2018 m. gruodžio 31 d. priima šio įstatymo įgyvendinamuosius teisės aktus</w:t>
      </w:r>
      <w:r>
        <w:rPr>
          <w:szCs w:val="24"/>
        </w:rPr>
        <w:t>.</w:t>
      </w:r>
    </w:p>
    <w:p w14:paraId="43584F92" w14:textId="77777777" w:rsidR="00E571B8" w:rsidRDefault="008A6310">
      <w:pPr>
        <w:spacing w:line="240" w:lineRule="atLeast"/>
        <w:ind w:firstLine="720"/>
        <w:jc w:val="both"/>
      </w:pPr>
    </w:p>
    <w:p w14:paraId="43584F93" w14:textId="77777777" w:rsidR="00E571B8" w:rsidRDefault="008A6310">
      <w:pPr>
        <w:spacing w:line="360" w:lineRule="auto"/>
        <w:ind w:firstLine="720"/>
        <w:jc w:val="both"/>
        <w:rPr>
          <w:i/>
          <w:szCs w:val="24"/>
        </w:rPr>
      </w:pPr>
      <w:r>
        <w:rPr>
          <w:i/>
          <w:szCs w:val="24"/>
        </w:rPr>
        <w:t xml:space="preserve">Skelbiu šį Lietuvos Respublikos Seimo </w:t>
      </w:r>
      <w:r>
        <w:rPr>
          <w:i/>
          <w:szCs w:val="24"/>
        </w:rPr>
        <w:t>priimtą įstatymą.</w:t>
      </w:r>
    </w:p>
    <w:p w14:paraId="3B62C394" w14:textId="77777777" w:rsidR="008A6310" w:rsidRDefault="008A6310">
      <w:pPr>
        <w:spacing w:line="360" w:lineRule="auto"/>
        <w:ind w:firstLine="720"/>
        <w:jc w:val="both"/>
        <w:rPr>
          <w:i/>
          <w:szCs w:val="24"/>
        </w:rPr>
      </w:pPr>
    </w:p>
    <w:p w14:paraId="572CCFCB" w14:textId="77777777" w:rsidR="008A6310" w:rsidRDefault="008A6310">
      <w:pPr>
        <w:spacing w:line="360" w:lineRule="auto"/>
        <w:ind w:firstLine="720"/>
        <w:jc w:val="both"/>
        <w:rPr>
          <w:i/>
          <w:szCs w:val="24"/>
        </w:rPr>
      </w:pPr>
    </w:p>
    <w:p w14:paraId="6D2C7ECD" w14:textId="77777777" w:rsidR="008A6310" w:rsidRDefault="008A6310">
      <w:pPr>
        <w:spacing w:line="360" w:lineRule="auto"/>
        <w:ind w:firstLine="720"/>
        <w:jc w:val="both"/>
        <w:rPr>
          <w:i/>
          <w:szCs w:val="24"/>
        </w:rPr>
      </w:pPr>
      <w:bookmarkStart w:id="0" w:name="_GoBack"/>
      <w:bookmarkEnd w:id="0"/>
    </w:p>
    <w:p w14:paraId="43584F94" w14:textId="77777777" w:rsidR="00E571B8" w:rsidRDefault="008A6310">
      <w:pPr>
        <w:tabs>
          <w:tab w:val="right" w:pos="9356"/>
        </w:tabs>
      </w:pPr>
      <w:r>
        <w:t>Respublikos Prezidentė</w:t>
      </w:r>
      <w:r>
        <w:rPr>
          <w:caps/>
        </w:rPr>
        <w:tab/>
      </w:r>
      <w:r>
        <w:t>Dalia Grybauskaitė</w:t>
      </w:r>
    </w:p>
    <w:sectPr w:rsidR="00E571B8">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84F99" w14:textId="77777777" w:rsidR="00E571B8" w:rsidRDefault="008A6310">
      <w:pPr>
        <w:rPr>
          <w:rFonts w:ascii="TimesLT" w:hAnsi="TimesLT"/>
          <w:lang w:val="en-US"/>
        </w:rPr>
      </w:pPr>
      <w:r>
        <w:rPr>
          <w:rFonts w:ascii="TimesLT" w:hAnsi="TimesLT"/>
          <w:lang w:val="en-US"/>
        </w:rPr>
        <w:separator/>
      </w:r>
    </w:p>
  </w:endnote>
  <w:endnote w:type="continuationSeparator" w:id="0">
    <w:p w14:paraId="43584F9A" w14:textId="77777777" w:rsidR="00E571B8" w:rsidRDefault="008A6310">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84F9F" w14:textId="77777777" w:rsidR="00E571B8" w:rsidRDefault="008A631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43584FA0" w14:textId="77777777" w:rsidR="00E571B8" w:rsidRDefault="00E571B8">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84FA1" w14:textId="77777777" w:rsidR="00E571B8" w:rsidRDefault="008A631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14:paraId="43584FA2" w14:textId="77777777" w:rsidR="00E571B8" w:rsidRDefault="00E571B8">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84FA4" w14:textId="77777777" w:rsidR="00E571B8" w:rsidRDefault="00E571B8">
    <w:pPr>
      <w:tabs>
        <w:tab w:val="center" w:pos="4320"/>
        <w:tab w:val="right" w:pos="8640"/>
      </w:tabs>
      <w:spacing w:line="360" w:lineRule="auto"/>
      <w:ind w:firstLine="720"/>
      <w:jc w:val="both"/>
      <w:rPr>
        <w:rFonts w:ascii="TimesLT" w:hAnsi="Times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84FA9" w14:textId="77777777" w:rsidR="00E571B8" w:rsidRDefault="008A6310">
    <w:pPr>
      <w:framePr w:wrap="auto" w:vAnchor="text" w:hAnchor="margin" w:xAlign="center" w:y="1"/>
      <w:tabs>
        <w:tab w:val="center" w:pos="4320"/>
        <w:tab w:val="right" w:pos="8640"/>
      </w:tabs>
      <w:spacing w:line="360" w:lineRule="auto"/>
      <w:ind w:firstLine="720"/>
      <w:jc w:val="both"/>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43584FAA" w14:textId="77777777" w:rsidR="00E571B8" w:rsidRDefault="00E571B8">
    <w:pPr>
      <w:tabs>
        <w:tab w:val="center" w:pos="4320"/>
        <w:tab w:val="right" w:pos="8640"/>
      </w:tabs>
      <w:spacing w:line="360" w:lineRule="auto"/>
      <w:ind w:firstLine="720"/>
      <w:jc w:val="both"/>
      <w:rPr>
        <w:rFonts w:ascii="TimesLT" w:hAnsi="TimesLT"/>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84FAB" w14:textId="77777777" w:rsidR="00E571B8" w:rsidRDefault="00E571B8">
    <w:pPr>
      <w:tabs>
        <w:tab w:val="center" w:pos="4320"/>
        <w:tab w:val="right" w:pos="8640"/>
      </w:tabs>
      <w:spacing w:line="360" w:lineRule="auto"/>
      <w:ind w:firstLine="720"/>
      <w:jc w:val="both"/>
      <w:rPr>
        <w:rFonts w:ascii="TimesLT" w:hAnsi="TimesLT"/>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84FAD" w14:textId="77777777" w:rsidR="00E571B8" w:rsidRDefault="00E571B8">
    <w:pPr>
      <w:tabs>
        <w:tab w:val="center" w:pos="4320"/>
        <w:tab w:val="right" w:pos="8640"/>
      </w:tabs>
      <w:spacing w:line="360" w:lineRule="auto"/>
      <w:ind w:firstLine="720"/>
      <w:jc w:val="both"/>
      <w:rPr>
        <w:rFonts w:ascii="TimesLT" w:hAnsi="TimesLT"/>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84F97" w14:textId="77777777" w:rsidR="00E571B8" w:rsidRDefault="008A6310">
      <w:pPr>
        <w:rPr>
          <w:rFonts w:ascii="TimesLT" w:hAnsi="TimesLT"/>
          <w:lang w:val="en-US"/>
        </w:rPr>
      </w:pPr>
      <w:r>
        <w:rPr>
          <w:rFonts w:ascii="TimesLT" w:hAnsi="TimesLT"/>
          <w:lang w:val="en-US"/>
        </w:rPr>
        <w:separator/>
      </w:r>
    </w:p>
  </w:footnote>
  <w:footnote w:type="continuationSeparator" w:id="0">
    <w:p w14:paraId="43584F98" w14:textId="77777777" w:rsidR="00E571B8" w:rsidRDefault="008A6310">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84F9B" w14:textId="77777777" w:rsidR="00E571B8" w:rsidRDefault="008A6310">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43584F9C" w14:textId="77777777" w:rsidR="00E571B8" w:rsidRDefault="00E571B8">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84F9D" w14:textId="77777777" w:rsidR="00E571B8" w:rsidRDefault="008A6310">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14:paraId="43584F9E" w14:textId="77777777" w:rsidR="00E571B8" w:rsidRDefault="00E571B8">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84FA3" w14:textId="77777777" w:rsidR="00E571B8" w:rsidRDefault="00E571B8">
    <w:pPr>
      <w:tabs>
        <w:tab w:val="center" w:pos="4153"/>
        <w:tab w:val="right" w:pos="8306"/>
      </w:tabs>
      <w:rPr>
        <w:rFonts w:ascii="TimesLT" w:hAnsi="TimesLT"/>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84FA5" w14:textId="77777777" w:rsidR="00E571B8" w:rsidRDefault="008A6310">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43584FA6" w14:textId="77777777" w:rsidR="00E571B8" w:rsidRDefault="00E571B8">
    <w:pPr>
      <w:tabs>
        <w:tab w:val="center" w:pos="4153"/>
        <w:tab w:val="right" w:pos="8306"/>
      </w:tabs>
      <w:rPr>
        <w:rFonts w:ascii="TimesLT" w:hAnsi="TimesLT"/>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84FA7" w14:textId="77777777" w:rsidR="00E571B8" w:rsidRDefault="008A6310">
    <w:pPr>
      <w:tabs>
        <w:tab w:val="center" w:pos="4680"/>
        <w:tab w:val="right" w:pos="9360"/>
      </w:tabs>
      <w:jc w:val="center"/>
      <w:rPr>
        <w:rFonts w:ascii="TimesLT" w:hAnsi="TimesLT"/>
        <w:sz w:val="22"/>
        <w:szCs w:val="22"/>
        <w:lang w:val="en-US" w:eastAsia="lt-LT"/>
      </w:rPr>
    </w:pPr>
    <w:r>
      <w:rPr>
        <w:rFonts w:ascii="TimesLT" w:hAnsi="TimesLT"/>
        <w:szCs w:val="22"/>
        <w:lang w:val="en-US" w:eastAsia="lt-LT"/>
      </w:rPr>
      <w:fldChar w:fldCharType="begin"/>
    </w:r>
    <w:r>
      <w:rPr>
        <w:rFonts w:ascii="TimesLT" w:hAnsi="TimesLT"/>
        <w:szCs w:val="22"/>
        <w:lang w:val="en-US" w:eastAsia="lt-LT"/>
      </w:rPr>
      <w:instrText>PAGE   \* MERGEFORMAT</w:instrText>
    </w:r>
    <w:r>
      <w:rPr>
        <w:rFonts w:ascii="TimesLT" w:hAnsi="TimesLT"/>
        <w:szCs w:val="22"/>
        <w:lang w:val="en-US" w:eastAsia="lt-LT"/>
      </w:rPr>
      <w:fldChar w:fldCharType="separate"/>
    </w:r>
    <w:r>
      <w:rPr>
        <w:rFonts w:ascii="TimesLT" w:hAnsi="TimesLT"/>
        <w:noProof/>
        <w:szCs w:val="22"/>
        <w:lang w:val="en-US" w:eastAsia="lt-LT"/>
      </w:rPr>
      <w:t>5</w:t>
    </w:r>
    <w:r>
      <w:rPr>
        <w:rFonts w:ascii="TimesLT" w:hAnsi="TimesLT"/>
        <w:szCs w:val="22"/>
        <w:lang w:val="en-US" w:eastAsia="lt-LT"/>
      </w:rPr>
      <w:fldChar w:fldCharType="end"/>
    </w:r>
  </w:p>
  <w:p w14:paraId="43584FA8" w14:textId="77777777" w:rsidR="00E571B8" w:rsidRDefault="00E571B8">
    <w:pPr>
      <w:tabs>
        <w:tab w:val="center" w:pos="4153"/>
        <w:tab w:val="right" w:pos="8306"/>
      </w:tabs>
      <w:rPr>
        <w:rFonts w:ascii="TimesLT" w:hAnsi="TimesLT"/>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84FAC" w14:textId="77777777" w:rsidR="00E571B8" w:rsidRDefault="00E571B8">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3C"/>
    <w:rsid w:val="008A6310"/>
    <w:rsid w:val="00CB503C"/>
    <w:rsid w:val="00E571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8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styles" Target="styles.xml"/>
  <Relationship Id="rId20" Type="http://schemas.openxmlformats.org/officeDocument/2006/relationships/footer" Target="footer6.xml"/>
  <Relationship Id="rId21" Type="http://schemas.openxmlformats.org/officeDocument/2006/relationships/fontTable" Target="fontTable.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1098</Words>
  <Characters>8179</Characters>
  <Application>Microsoft Office Word</Application>
  <DocSecurity>0</DocSecurity>
  <Lines>68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9259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2018-12-21T11:53:00Z</dcterms:created>
  <dc:creator>MANIUŠKIENĖ Violeta</dc:creator>
  <lastModifiedBy>TRAPINSKIENĖ Aušrinė</lastModifiedBy>
  <lastPrinted>2004-12-10T05:45:00Z</lastPrinted>
  <dcterms:modified xsi:type="dcterms:W3CDTF">2018-12-21T12:13:00Z</dcterms:modified>
  <revision>3</revision>
</coreProperties>
</file>