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F826" w14:textId="77777777" w:rsidR="000874F0" w:rsidRDefault="000874F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1E3CF827" w14:textId="77777777" w:rsidR="000874F0" w:rsidRDefault="009B2245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object w:dxaOrig="811" w:dyaOrig="961" w14:anchorId="1E3CF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7.5pt" o:ole="" fillcolor="window">
            <v:imagedata r:id="rId8" o:title=""/>
          </v:shape>
          <o:OLEObject Type="Embed" ProgID="Word.Picture.8" ShapeID="_x0000_i1025" DrawAspect="Content" ObjectID="_1647274714" r:id="rId9"/>
        </w:object>
      </w:r>
    </w:p>
    <w:p w14:paraId="1E3CF828" w14:textId="77777777" w:rsidR="000874F0" w:rsidRDefault="000874F0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</w:p>
    <w:p w14:paraId="1E3CF829" w14:textId="77777777" w:rsidR="000874F0" w:rsidRDefault="009B2245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 SVEIKATOS APSAUGOS MINISTRAS</w:t>
      </w:r>
    </w:p>
    <w:p w14:paraId="1E3CF82A" w14:textId="77777777" w:rsidR="000874F0" w:rsidRDefault="000874F0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</w:p>
    <w:p w14:paraId="1E3CF82B" w14:textId="77777777" w:rsidR="000874F0" w:rsidRDefault="009B2245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ĮSAKYMAS </w:t>
      </w:r>
    </w:p>
    <w:p w14:paraId="1E3CF82C" w14:textId="77777777" w:rsidR="000874F0" w:rsidRDefault="009B2245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szCs w:val="24"/>
          </w:rPr>
          <w:t>2000 M</w:t>
        </w:r>
      </w:smartTag>
      <w:r>
        <w:rPr>
          <w:b/>
          <w:szCs w:val="24"/>
        </w:rPr>
        <w:t xml:space="preserve">. </w:t>
      </w:r>
    </w:p>
    <w:p w14:paraId="1E3CF82D" w14:textId="77777777" w:rsidR="000874F0" w:rsidRDefault="009B2245">
      <w:pPr>
        <w:jc w:val="center"/>
        <w:rPr>
          <w:b/>
          <w:szCs w:val="24"/>
        </w:rPr>
      </w:pPr>
      <w:r>
        <w:rPr>
          <w:b/>
          <w:szCs w:val="24"/>
        </w:rPr>
        <w:t xml:space="preserve">SAUSIO 28 D. ĮSAKYMO NR. 49 „DĖL KOMPENSUOJAMŲJŲ VAISTŲ SĄRAŠŲ PATVIRTINIMO“ PAKEITIMO </w:t>
      </w:r>
    </w:p>
    <w:p w14:paraId="1E3CF82E" w14:textId="77777777" w:rsidR="000874F0" w:rsidRDefault="000874F0">
      <w:pPr>
        <w:tabs>
          <w:tab w:val="left" w:pos="5660"/>
        </w:tabs>
        <w:ind w:firstLine="5660"/>
        <w:rPr>
          <w:szCs w:val="24"/>
        </w:rPr>
      </w:pPr>
    </w:p>
    <w:p w14:paraId="1E3CF82F" w14:textId="77777777" w:rsidR="000874F0" w:rsidRDefault="009B2245">
      <w:pPr>
        <w:jc w:val="center"/>
        <w:rPr>
          <w:szCs w:val="24"/>
        </w:rPr>
      </w:pPr>
      <w:r>
        <w:rPr>
          <w:szCs w:val="24"/>
        </w:rPr>
        <w:t xml:space="preserve">2020 m. </w:t>
      </w:r>
      <w:r>
        <w:rPr>
          <w:szCs w:val="24"/>
        </w:rPr>
        <w:t>balandžio 1 d. Nr. V-656</w:t>
      </w:r>
    </w:p>
    <w:p w14:paraId="1E3CF830" w14:textId="77777777" w:rsidR="000874F0" w:rsidRDefault="009B2245">
      <w:pPr>
        <w:jc w:val="center"/>
        <w:rPr>
          <w:sz w:val="20"/>
        </w:rPr>
      </w:pPr>
      <w:r>
        <w:rPr>
          <w:szCs w:val="24"/>
        </w:rPr>
        <w:t>Vilnius</w:t>
      </w:r>
    </w:p>
    <w:p w14:paraId="1E3CF831" w14:textId="77777777" w:rsidR="000874F0" w:rsidRDefault="000874F0">
      <w:pPr>
        <w:ind w:firstLine="709"/>
        <w:jc w:val="both"/>
        <w:rPr>
          <w:rFonts w:eastAsia="Calibri"/>
          <w:szCs w:val="24"/>
          <w:lang w:eastAsia="lt-LT"/>
        </w:rPr>
      </w:pPr>
    </w:p>
    <w:p w14:paraId="55C91E88" w14:textId="77777777" w:rsidR="009B2245" w:rsidRDefault="009B2245">
      <w:pPr>
        <w:ind w:firstLine="709"/>
        <w:jc w:val="both"/>
        <w:rPr>
          <w:rFonts w:eastAsia="Calibri"/>
          <w:szCs w:val="24"/>
          <w:lang w:eastAsia="lt-LT"/>
        </w:rPr>
      </w:pPr>
    </w:p>
    <w:p w14:paraId="1E3CF832" w14:textId="77777777" w:rsidR="000874F0" w:rsidRDefault="009B2245">
      <w:pPr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Vadovaudamasis Vaistinių preparatų ir medicinos pagalbos priemonių įrašymo į kompensavimo sąrašus ir jų keitimo tvarkos aprašo, patvirtinto Lietuvos Respublikos sveikatos apsaugos ministro 2002 m. balandžio 5 d. įsakymu Nr</w:t>
      </w:r>
      <w:r>
        <w:rPr>
          <w:rFonts w:eastAsia="Calibri"/>
          <w:szCs w:val="24"/>
          <w:lang w:eastAsia="lt-LT"/>
        </w:rPr>
        <w:t xml:space="preserve">. 159 „Dėl Vaistinių preparatų ir medicinos pagalbos priemonių įrašymo į kompensavimo sąrašus ir jų keitimo tvarkos aprašo patvirtinimo“, 67 </w:t>
      </w:r>
      <w:r>
        <w:rPr>
          <w:rFonts w:eastAsia="Calibri"/>
          <w:spacing w:val="4"/>
          <w:szCs w:val="24"/>
          <w:lang w:eastAsia="lt-LT"/>
        </w:rPr>
        <w:t xml:space="preserve">punktu ir </w:t>
      </w:r>
      <w:r>
        <w:rPr>
          <w:rFonts w:eastAsia="Calibri"/>
          <w:szCs w:val="24"/>
          <w:lang w:eastAsia="lt-LT"/>
        </w:rPr>
        <w:t>Lietuvos Respublikos Ministro Pirmininko 2020 m. vasario 3 d. potvarkiu Nr. 34 „Dėl sveikatos apsaugos mi</w:t>
      </w:r>
      <w:r>
        <w:rPr>
          <w:rFonts w:eastAsia="Calibri"/>
          <w:szCs w:val="24"/>
          <w:lang w:eastAsia="lt-LT"/>
        </w:rPr>
        <w:t xml:space="preserve">nistro A. </w:t>
      </w:r>
      <w:proofErr w:type="spellStart"/>
      <w:r>
        <w:rPr>
          <w:rFonts w:eastAsia="Calibri"/>
          <w:szCs w:val="24"/>
          <w:lang w:eastAsia="lt-LT"/>
        </w:rPr>
        <w:t>Verygos</w:t>
      </w:r>
      <w:proofErr w:type="spellEnd"/>
      <w:r>
        <w:rPr>
          <w:rFonts w:eastAsia="Calibri"/>
          <w:szCs w:val="24"/>
          <w:lang w:eastAsia="lt-LT"/>
        </w:rPr>
        <w:t xml:space="preserve"> nusišalinimo“,</w:t>
      </w:r>
    </w:p>
    <w:p w14:paraId="1E3CF833" w14:textId="77777777" w:rsidR="000874F0" w:rsidRDefault="009B2245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p a k e i č i u Ligų ir kompensuojamųjų vaistų joms gydyti sąrašą (A sąrašą), patvirtintą Lietuvos Respublikos sveikatos apsaugos ministro 2000 m. sausio 28 d. įsakymu Nr. 49 „Dėl kompensuojamųjų vaistų sąrašų patvirtinim</w:t>
      </w:r>
      <w:r>
        <w:rPr>
          <w:rFonts w:eastAsia="Calibri"/>
          <w:szCs w:val="24"/>
          <w:lang w:eastAsia="lt-LT"/>
        </w:rPr>
        <w:t>o“, ir</w:t>
      </w:r>
      <w:r>
        <w:rPr>
          <w:rFonts w:eastAsia="Calibri"/>
          <w:szCs w:val="24"/>
        </w:rPr>
        <w:t xml:space="preserve"> X skyriaus „KVĖPAVIMO SISTEMOS LIGOS“ 1.18 papunktį išdėstau taip: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903"/>
        <w:gridCol w:w="2196"/>
        <w:gridCol w:w="1368"/>
        <w:gridCol w:w="4660"/>
      </w:tblGrid>
      <w:tr w:rsidR="000874F0" w14:paraId="1E3CF839" w14:textId="77777777">
        <w:trPr>
          <w:trHeight w:val="257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F834" w14:textId="77777777" w:rsidR="000874F0" w:rsidRDefault="009B2245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„1.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F835" w14:textId="77777777" w:rsidR="000874F0" w:rsidRDefault="009B2245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18.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F836" w14:textId="77777777" w:rsidR="000874F0" w:rsidRDefault="009B2245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Benralizumabum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F837" w14:textId="77777777" w:rsidR="000874F0" w:rsidRDefault="009B224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J45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F838" w14:textId="77777777" w:rsidR="000874F0" w:rsidRDefault="009B2245">
            <w:pPr>
              <w:tabs>
                <w:tab w:val="left" w:pos="851"/>
                <w:tab w:val="left" w:pos="1276"/>
                <w:tab w:val="left" w:pos="9781"/>
              </w:tabs>
              <w:jc w:val="both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Skiriamas ir išrašomas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VšĮ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Vilniaus universiteto ligoninės Santaros klinikų,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VšĮ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Lietuvos sveikatos mokslų universiteto ligoninės Kauno klinikų, Klaipėdo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s universitetinės ligoninės, Respublikinės Klaipėdos ligoninės ir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VšĮ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Vilniaus miesto klinikinės ligoninės gydytojų pulmonologų bei alergologų ir klinikinių imunologų konsiliumo sprendimu kaip papildomas gydymas suaugusiems pacientams, sergantiems sunkia a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tsparia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eozinofiline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astma. Vėliau gydymą gali tęsti gydytojas pulmonologas, alergologas ir klinikinis imunologas, šeimos gydytojas arba vidaus ligų gydytojas, jei jį paskyręs gydytojas per 4 mėn. nuo paskyrimo nustato teigiamą efektą. Pacientams, gydomiem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s </w:t>
            </w:r>
            <w:proofErr w:type="spellStart"/>
            <w:r>
              <w:rPr>
                <w:rFonts w:eastAsia="Calibri"/>
                <w:bCs/>
                <w:i/>
                <w:color w:val="000000"/>
                <w:szCs w:val="24"/>
              </w:rPr>
              <w:t>Benralizumabum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ne rečiau kaip kas 6 mėn. būtina vaistą paskyrusio gydytojo konsultacija dėl gydymo tęstinumo šiuo vaistiniu preparatu.“</w:t>
            </w:r>
          </w:p>
        </w:tc>
      </w:tr>
    </w:tbl>
    <w:p w14:paraId="1E3CF83B" w14:textId="77777777" w:rsidR="000874F0" w:rsidRDefault="009B2245">
      <w:pPr>
        <w:rPr>
          <w:sz w:val="18"/>
          <w:szCs w:val="18"/>
        </w:rPr>
      </w:pPr>
    </w:p>
    <w:p w14:paraId="1FA52631" w14:textId="77777777" w:rsidR="009B2245" w:rsidRDefault="009B2245">
      <w:pPr>
        <w:jc w:val="both"/>
      </w:pPr>
    </w:p>
    <w:p w14:paraId="0F2F7720" w14:textId="77777777" w:rsidR="009B2245" w:rsidRDefault="009B2245">
      <w:pPr>
        <w:jc w:val="both"/>
      </w:pPr>
    </w:p>
    <w:p w14:paraId="2AF9C737" w14:textId="77777777" w:rsidR="009B2245" w:rsidRDefault="009B2245">
      <w:pPr>
        <w:jc w:val="both"/>
      </w:pPr>
    </w:p>
    <w:p w14:paraId="1E3CF83C" w14:textId="1DB6F707" w:rsidR="000874F0" w:rsidRDefault="009B2245">
      <w:pPr>
        <w:jc w:val="both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Socialinės apsaugos ir darbo ministras,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Linas </w:t>
      </w:r>
      <w:proofErr w:type="spellStart"/>
      <w:r>
        <w:rPr>
          <w:rFonts w:eastAsia="Calibri"/>
          <w:szCs w:val="24"/>
        </w:rPr>
        <w:t>Kukuraitis</w:t>
      </w:r>
      <w:proofErr w:type="spellEnd"/>
    </w:p>
    <w:p w14:paraId="1E3CF83D" w14:textId="77777777" w:rsidR="000874F0" w:rsidRDefault="009B22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atliekantis sveikatos apsaugos ministro funkcijas</w:t>
      </w:r>
    </w:p>
    <w:p w14:paraId="1E3CF83E" w14:textId="77777777" w:rsidR="000874F0" w:rsidRDefault="009B2245">
      <w:pPr>
        <w:jc w:val="both"/>
        <w:rPr>
          <w:rFonts w:eastAsia="Calibri"/>
          <w:szCs w:val="24"/>
        </w:rPr>
      </w:pPr>
    </w:p>
    <w:sectPr w:rsidR="00087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F842" w14:textId="77777777" w:rsidR="000874F0" w:rsidRDefault="009B224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E3CF843" w14:textId="77777777" w:rsidR="000874F0" w:rsidRDefault="009B224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7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8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A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F840" w14:textId="77777777" w:rsidR="000874F0" w:rsidRDefault="009B224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E3CF841" w14:textId="77777777" w:rsidR="000874F0" w:rsidRDefault="009B224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4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5" w14:textId="77777777" w:rsidR="000874F0" w:rsidRDefault="009B2245">
    <w:pPr>
      <w:tabs>
        <w:tab w:val="center" w:pos="4819"/>
        <w:tab w:val="right" w:pos="9638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>PAGE   \* MERGEFORMAT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sz w:val="22"/>
        <w:szCs w:val="22"/>
      </w:rPr>
      <w:t>2</w:t>
    </w:r>
    <w:r>
      <w:rPr>
        <w:rFonts w:ascii="Calibri" w:eastAsia="Calibri" w:hAnsi="Calibri"/>
        <w:sz w:val="22"/>
        <w:szCs w:val="22"/>
      </w:rPr>
      <w:fldChar w:fldCharType="end"/>
    </w:r>
  </w:p>
  <w:p w14:paraId="1E3CF846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849" w14:textId="77777777" w:rsidR="000874F0" w:rsidRDefault="000874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A"/>
    <w:rsid w:val="000874F0"/>
    <w:rsid w:val="009B2245"/>
    <w:rsid w:val="00A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E3CF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2020-04-01T15:09:00Z</dcterms:created>
  <dc:creator>tomasevic</dc:creator>
  <lastModifiedBy>ŠAULYTĖ SKAIRIENĖ Dalia</lastModifiedBy>
  <lastPrinted>2020-03-27T13:36:00Z</lastPrinted>
  <dcterms:modified xsi:type="dcterms:W3CDTF">2020-04-01T16:32:00Z</dcterms:modified>
  <revision>3</revision>
</coreProperties>
</file>