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79AE519" wp14:editId="0C53D77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ŠVIETIMO ĮSTATYMO NR. I-1489 68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29 d. Nr. XIII-1396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68 straipsnio pakeitimas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68 straipsnį ir jį išdėstyti taip:</w:t>
      </w:r>
    </w:p>
    <w:p>
      <w:pPr>
        <w:spacing w:line="360" w:lineRule="auto"/>
        <w:ind w:left="2268" w:hanging="1548"/>
        <w:jc w:val="both"/>
        <w:rPr>
          <w:b/>
          <w:bCs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68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Mokyklų vadovų, jų pavaduotojų ugdymui, ugdymą organizuojančių skyrių vedėjų, mokytojų (išskyrus trenerius), pagalbos mokiniui specialistų darbo apmokėjimas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Valstybinės ar savivaldybės mokyklos</w:t>
      </w:r>
      <w:r>
        <w:rPr>
          <w:b/>
          <w:szCs w:val="24"/>
        </w:rPr>
        <w:t xml:space="preserve"> </w:t>
      </w:r>
      <w:r>
        <w:rPr>
          <w:szCs w:val="24"/>
        </w:rPr>
        <w:t xml:space="preserve">(išskyrus aukštąsias mokyklas) vadovo, jo pavaduotojo ugdymui darbo užmokestis priklauso nuo </w:t>
      </w:r>
      <w:r>
        <w:rPr>
          <w:szCs w:val="24"/>
          <w:lang w:eastAsia="lt-LT"/>
        </w:rPr>
        <w:t xml:space="preserve">mokykloje ugdomų mokinių skaičiaus, </w:t>
      </w:r>
      <w:r>
        <w:rPr>
          <w:szCs w:val="24"/>
        </w:rPr>
        <w:t>pedagoginio darbo stažo ir veiklos sudėtingumo.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Valstybinės ar savivaldybės mokyklos (išskyrus aukštąsias mokyklas) ugdymą organizuojančio skyriaus vedėjo darbo užmokestis priklauso nuo pedagoginio darbo stažo ir veiklos sudėtingumo.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Valstybinės (išskyrus </w:t>
      </w:r>
      <w:r>
        <w:rPr>
          <w:bCs/>
          <w:szCs w:val="24"/>
        </w:rPr>
        <w:t>aukštąsias mokyklas</w:t>
      </w:r>
      <w:r>
        <w:rPr>
          <w:szCs w:val="24"/>
        </w:rPr>
        <w:t>) ir savivaldybės mokyklos mokytojo</w:t>
      </w:r>
      <w:r>
        <w:rPr>
          <w:szCs w:val="24"/>
          <w:lang w:eastAsia="lt-LT"/>
        </w:rPr>
        <w:t xml:space="preserve"> (išskyrus trenerius)</w:t>
      </w:r>
      <w:r>
        <w:rPr>
          <w:szCs w:val="24"/>
        </w:rPr>
        <w:t xml:space="preserve">, pagalbos mokiniui specialisto </w:t>
      </w:r>
      <w:r>
        <w:rPr>
          <w:bCs/>
          <w:szCs w:val="24"/>
        </w:rPr>
        <w:t>darbo užmokestis</w:t>
      </w:r>
      <w:r>
        <w:rPr>
          <w:b/>
          <w:bCs/>
          <w:szCs w:val="24"/>
        </w:rPr>
        <w:t xml:space="preserve"> </w:t>
      </w:r>
      <w:r>
        <w:rPr>
          <w:szCs w:val="24"/>
        </w:rPr>
        <w:t>priklauso nuo pedagoginio darbo stažo, kvalifikacinės kategorijos ir veiklos sudėtingumo.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4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Mokytojų (išskyrus trenerius) ir pagalbos mokiniui specialistų kvalifikacinės kategorijos</w:t>
      </w:r>
      <w:r>
        <w:rPr>
          <w:szCs w:val="24"/>
        </w:rPr>
        <w:t>, atsižvelgiant į mokytojų (išskyrus trenerius) ir pagalbos mokiniui specialistų išsilavinimą ir jų turimų kompetencijų, reikalingų profesinei veiklai, visumą,</w:t>
      </w:r>
      <w:r>
        <w:rPr>
          <w:b/>
          <w:szCs w:val="24"/>
        </w:rPr>
        <w:t xml:space="preserve"> </w:t>
      </w:r>
      <w:r>
        <w:rPr>
          <w:szCs w:val="24"/>
          <w:lang w:eastAsia="lt-LT"/>
        </w:rPr>
        <w:t>nustatomos švietimo ir mokslo ministro nustatyta tvarka.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Nevalstybinės mokyklos vadovo, mokytojo ir kito darbuotojo darbo užmokestis nustatomas įstatymų nustatyta tvarka.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</w:t>
      </w:r>
      <w:r>
        <w:rPr>
          <w:bCs/>
          <w:szCs w:val="24"/>
          <w:lang w:eastAsia="lt-LT"/>
        </w:rPr>
        <w:t>Valstybinės aukštosios mokyklos darbuotojams už darbą mokama Mokslo ir studijų įstatymo nustatyta tvarka.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P</w:t>
      </w:r>
      <w:r>
        <w:rPr>
          <w:bCs/>
          <w:szCs w:val="24"/>
        </w:rPr>
        <w:t>areigybių, kurias einant atliekamas darbas yra laikomas pedagoginiu ir įskaitomas į pedagoginio darbo stažą, sąrašą</w:t>
      </w:r>
      <w:r>
        <w:rPr>
          <w:szCs w:val="24"/>
        </w:rPr>
        <w:t xml:space="preserve"> tvirtina švietimo ir mokslo ministras.“</w:t>
      </w: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szCs w:val="24"/>
        </w:rPr>
      </w:pP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suppressAutoHyphens/>
        <w:spacing w:line="360" w:lineRule="auto"/>
        <w:ind w:firstLine="720"/>
        <w:jc w:val="both"/>
        <w:textAlignment w:val="baseline"/>
        <w:rPr>
          <w:rFonts w:eastAsia="Calibri"/>
          <w:b/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2018 m. rugsėjo 1 d.</w:t>
      </w:r>
    </w:p>
    <w:p>
      <w:pPr>
        <w:keepLines/>
        <w:widowControl w:val="0"/>
        <w:suppressAutoHyphens/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</w:t>
      </w:r>
      <w:r>
        <w:rPr>
          <w:szCs w:val="24"/>
        </w:rPr>
        <w:t xml:space="preserve">Lietuvos Respublikos švietimo ir mokslo ministras iki 2018 m. liepos 31 d. priima šio įstatymo įgyvendinamuosius teisės aktus. 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1830</Characters>
  <Application>Microsoft Office Word</Application>
  <DocSecurity>4</DocSecurity>
  <Lines>46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2065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2018-07-04T12:25:00Z</dcterms:created>
  <dc:creator>MANIUŠKIENĖ Violeta</dc:creator>
  <lastModifiedBy>adlibuser</lastModifiedBy>
  <lastPrinted>2004-12-10T05:45:00Z</lastPrinted>
  <dcterms:modified xsi:type="dcterms:W3CDTF">2018-07-04T12:25:00Z</dcterms:modified>
  <revision>2</revision>
</coreProperties>
</file>