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A486" w14:textId="77777777" w:rsidR="00F555F4" w:rsidRDefault="00F555F4">
      <w:pPr>
        <w:keepLines/>
        <w:suppressAutoHyphens/>
        <w:spacing w:line="278" w:lineRule="auto"/>
        <w:jc w:val="center"/>
        <w:textAlignment w:val="center"/>
        <w:rPr>
          <w:szCs w:val="24"/>
        </w:rPr>
      </w:pPr>
    </w:p>
    <w:p w14:paraId="5D47A487" w14:textId="77777777" w:rsidR="00F555F4" w:rsidRDefault="00925BC9">
      <w:pPr>
        <w:keepLines/>
        <w:suppressAutoHyphens/>
        <w:spacing w:line="278" w:lineRule="auto"/>
        <w:jc w:val="center"/>
        <w:textAlignment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5D47A4BE" wp14:editId="5D47A4BF">
            <wp:extent cx="5810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A488" w14:textId="77777777" w:rsidR="00F555F4" w:rsidRDefault="00F555F4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Cs w:val="24"/>
        </w:rPr>
      </w:pPr>
    </w:p>
    <w:p w14:paraId="5D47A489" w14:textId="77777777" w:rsidR="00F555F4" w:rsidRDefault="00925BC9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STUDIJŲ KOKYBĖS VERTINIMO CENTRO</w:t>
      </w:r>
    </w:p>
    <w:p w14:paraId="5D47A48A" w14:textId="77777777" w:rsidR="00F555F4" w:rsidRDefault="00925BC9">
      <w:pPr>
        <w:keepNext/>
        <w:tabs>
          <w:tab w:val="left" w:pos="2160"/>
        </w:tabs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DIREKTORIUS</w:t>
      </w:r>
    </w:p>
    <w:p w14:paraId="5D47A48B" w14:textId="77777777" w:rsidR="00F555F4" w:rsidRDefault="00F555F4"/>
    <w:p w14:paraId="5D47A48C" w14:textId="77777777" w:rsidR="00F555F4" w:rsidRDefault="00925BC9">
      <w:pPr>
        <w:keepLines/>
        <w:suppressAutoHyphens/>
        <w:spacing w:line="283" w:lineRule="auto"/>
        <w:jc w:val="center"/>
        <w:textAlignment w:val="center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ĮSAKYMAS</w:t>
      </w:r>
    </w:p>
    <w:p w14:paraId="5D47A48D" w14:textId="77777777" w:rsidR="00F555F4" w:rsidRDefault="00925BC9">
      <w:pPr>
        <w:suppressAutoHyphens/>
        <w:spacing w:line="298" w:lineRule="auto"/>
        <w:ind w:firstLine="312"/>
        <w:jc w:val="center"/>
        <w:textAlignment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AUKŠTOSIOS MOKYKLOS VEIKLOS VERTINIMO METODIKOS, PATVIRTINTOS STUDIJŲ KOKYBĖS VERTINIMO CENTRO DIREKTORIAUS 2010 M. SPALIOS 25 D. ĮSAKYMU NR. 1-01-135, PAKEITIMO </w:t>
      </w:r>
    </w:p>
    <w:p w14:paraId="5D47A48E" w14:textId="77777777" w:rsidR="00F555F4" w:rsidRDefault="00F555F4">
      <w:pPr>
        <w:keepLines/>
        <w:suppressAutoHyphens/>
        <w:spacing w:line="283" w:lineRule="auto"/>
        <w:ind w:firstLine="60"/>
        <w:jc w:val="center"/>
        <w:textAlignment w:val="center"/>
        <w:rPr>
          <w:b/>
          <w:bCs/>
          <w:caps/>
          <w:szCs w:val="24"/>
        </w:rPr>
      </w:pPr>
    </w:p>
    <w:p w14:paraId="5D47A48F" w14:textId="7A7D4AEE" w:rsidR="00F555F4" w:rsidRDefault="00925BC9">
      <w:pPr>
        <w:keepLines/>
        <w:suppressAutoHyphens/>
        <w:spacing w:line="278" w:lineRule="auto"/>
        <w:jc w:val="center"/>
        <w:textAlignment w:val="center"/>
        <w:rPr>
          <w:szCs w:val="24"/>
        </w:rPr>
      </w:pPr>
      <w:r>
        <w:rPr>
          <w:szCs w:val="24"/>
        </w:rPr>
        <w:t xml:space="preserve">2016 m. liepos 22 d. Nr. </w:t>
      </w:r>
      <w:r>
        <w:rPr>
          <w:szCs w:val="24"/>
        </w:rPr>
        <w:t>V-67</w:t>
      </w:r>
    </w:p>
    <w:p w14:paraId="5D47A490" w14:textId="77777777" w:rsidR="00F555F4" w:rsidRDefault="00925BC9">
      <w:pPr>
        <w:keepLines/>
        <w:suppressAutoHyphens/>
        <w:spacing w:line="278" w:lineRule="auto"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5D47A492" w14:textId="77777777" w:rsidR="00F555F4" w:rsidRDefault="00F555F4">
      <w:pPr>
        <w:suppressAutoHyphens/>
        <w:spacing w:line="298" w:lineRule="auto"/>
        <w:jc w:val="both"/>
        <w:textAlignment w:val="center"/>
        <w:rPr>
          <w:rFonts w:eastAsia="Calibri"/>
          <w:szCs w:val="24"/>
        </w:rPr>
      </w:pPr>
    </w:p>
    <w:p w14:paraId="5D47A493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Vadovaudamasi Lietuvos Respublikos Vyriausybės </w:t>
      </w:r>
      <w:smartTag w:uri="urn:schemas-microsoft-com:office:smarttags" w:element="metricconverter">
        <w:smartTagPr>
          <w:attr w:name="ProductID" w:val="2010 m"/>
        </w:smartTagPr>
        <w:r>
          <w:rPr>
            <w:sz w:val="22"/>
            <w:szCs w:val="22"/>
          </w:rPr>
          <w:t>2010 m</w:t>
        </w:r>
      </w:smartTag>
      <w:r>
        <w:rPr>
          <w:sz w:val="22"/>
          <w:szCs w:val="22"/>
        </w:rPr>
        <w:t xml:space="preserve">. rugsėjo 22 d. nutarimo Nr. 1317 „Dėl </w:t>
      </w:r>
      <w:r>
        <w:rPr>
          <w:caps/>
          <w:sz w:val="22"/>
          <w:szCs w:val="22"/>
        </w:rPr>
        <w:t>a</w:t>
      </w:r>
      <w:r>
        <w:rPr>
          <w:sz w:val="22"/>
          <w:szCs w:val="22"/>
        </w:rPr>
        <w:t>ukštųjų mokyklų išorinio vertinimo tvarkos aprašo ir aukštųjų mokyklų akreditavimo tvarkos aprašo patvirtinimo“ 2.2 punktu,</w:t>
      </w:r>
    </w:p>
    <w:p w14:paraId="5D47A494" w14:textId="41250733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color w:val="000000"/>
          <w:spacing w:val="50"/>
          <w:sz w:val="23"/>
          <w:szCs w:val="23"/>
        </w:rPr>
        <w:t>pakeičiu</w:t>
      </w:r>
      <w:r>
        <w:rPr>
          <w:sz w:val="22"/>
          <w:szCs w:val="22"/>
        </w:rPr>
        <w:t xml:space="preserve"> Aukštosio</w:t>
      </w:r>
      <w:r>
        <w:rPr>
          <w:sz w:val="22"/>
          <w:szCs w:val="22"/>
        </w:rPr>
        <w:t>s mokyklos veiklos vertinimo metodikos (toliau – Metodika):</w:t>
      </w:r>
    </w:p>
    <w:p w14:paraId="5D47A495" w14:textId="159CF30D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8.2. punktą ir išdėstau jį taip:</w:t>
      </w:r>
    </w:p>
    <w:p w14:paraId="5D47A496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8.2</w:t>
      </w:r>
      <w:r>
        <w:rPr>
          <w:sz w:val="22"/>
          <w:szCs w:val="22"/>
        </w:rPr>
        <w:t>. Siekiant įvertinti, ar aukštosios mokyklos valdymas yra veiksmingas, analizuojama:</w:t>
      </w:r>
    </w:p>
    <w:p w14:paraId="5D47A497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8.2.1</w:t>
      </w:r>
      <w:r>
        <w:rPr>
          <w:sz w:val="22"/>
          <w:szCs w:val="22"/>
        </w:rPr>
        <w:t>. vidinio kokybės užtikrinimo sistema, kuri apima:  kokybės užtikrinimo politiką, jos planavimą, įgyvendinimą, tobulinimą; suteikiamų kvalifikacijų atitiktį nacionalinei ir Europos kvalifikacijų sandarai; studijų programų kokybės vertinimą;  veiksmingos pa</w:t>
      </w:r>
      <w:r>
        <w:rPr>
          <w:sz w:val="22"/>
          <w:szCs w:val="22"/>
        </w:rPr>
        <w:t xml:space="preserve">ramos studentams užtikrinimą; duomenų kaupimą, analizavimą, panaudojimą ir viešinimą; užsienio kvalifikacijų, dalinių studijų ir ankstesnio neformalaus ir savaiminio mokymosi pripažinimą; </w:t>
      </w:r>
    </w:p>
    <w:p w14:paraId="5D47A498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8.2.2</w:t>
      </w:r>
      <w:r>
        <w:rPr>
          <w:sz w:val="22"/>
          <w:szCs w:val="22"/>
        </w:rPr>
        <w:t>. struktūros pokyčių atitiktis studijų, mokslinių tyrimų i</w:t>
      </w:r>
      <w:r>
        <w:rPr>
          <w:sz w:val="22"/>
          <w:szCs w:val="22"/>
        </w:rPr>
        <w:t>r eksperimentinės (socialinės, kultūrinės) plėtros ir (arba) meno veiklos poreikiams;</w:t>
      </w:r>
    </w:p>
    <w:p w14:paraId="5D47A499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8.2.3</w:t>
      </w:r>
      <w:r>
        <w:rPr>
          <w:sz w:val="22"/>
          <w:szCs w:val="22"/>
        </w:rPr>
        <w:t xml:space="preserve">. procesų valdymas – sprendimų priėmimo veiksmingumas, atsakomybės pasiskirstymas ir atskaitomybė, išteklių paskirstymas, vidinių ir išorinių socialinių </w:t>
      </w:r>
      <w:r>
        <w:rPr>
          <w:sz w:val="22"/>
          <w:szCs w:val="22"/>
        </w:rPr>
        <w:t>dalininkų įtraukimas, orientavimasis į strateginius tikslus ir rezultatus;</w:t>
      </w:r>
    </w:p>
    <w:p w14:paraId="5D47A49A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8.2.4</w:t>
      </w:r>
      <w:r>
        <w:rPr>
          <w:sz w:val="22"/>
          <w:szCs w:val="22"/>
        </w:rPr>
        <w:t>. žmonių išteklių valdymas – poreikių analizė, atitiktis strateginio plano įgyvendinimui, įdarbinimo procedūrų aiškumas ir skaidrumas, akademinio, administracinio ir pagalb</w:t>
      </w:r>
      <w:r>
        <w:rPr>
          <w:sz w:val="22"/>
          <w:szCs w:val="22"/>
        </w:rPr>
        <w:t>inio personalo kompetencijų tobulinimas;</w:t>
      </w:r>
    </w:p>
    <w:p w14:paraId="5D47A49B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8.2.5</w:t>
      </w:r>
      <w:r>
        <w:rPr>
          <w:sz w:val="22"/>
          <w:szCs w:val="22"/>
        </w:rPr>
        <w:t xml:space="preserve">. pokyčių valdymas (procesų optimizavimas) – procesų kokybės analizė, tobulinimo prielaidos, </w:t>
      </w:r>
      <w:proofErr w:type="spellStart"/>
      <w:r>
        <w:rPr>
          <w:sz w:val="22"/>
          <w:szCs w:val="22"/>
        </w:rPr>
        <w:t>rizikų</w:t>
      </w:r>
      <w:proofErr w:type="spellEnd"/>
      <w:r>
        <w:rPr>
          <w:sz w:val="22"/>
          <w:szCs w:val="22"/>
        </w:rPr>
        <w:t xml:space="preserve"> analizė;</w:t>
      </w:r>
    </w:p>
    <w:p w14:paraId="5D47A49C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8.2.6</w:t>
      </w:r>
      <w:r>
        <w:rPr>
          <w:sz w:val="22"/>
          <w:szCs w:val="22"/>
        </w:rPr>
        <w:t>. materialiųjų išteklių (infrastruktūros) valdymas;</w:t>
      </w:r>
    </w:p>
    <w:p w14:paraId="5D47A49D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8.2.7</w:t>
      </w:r>
      <w:r>
        <w:rPr>
          <w:sz w:val="22"/>
          <w:szCs w:val="22"/>
        </w:rPr>
        <w:t xml:space="preserve">. aukštosios mokyklos lėšų </w:t>
      </w:r>
      <w:r>
        <w:rPr>
          <w:sz w:val="22"/>
          <w:szCs w:val="22"/>
        </w:rPr>
        <w:t>planavimas ir panaudojimo racionalumas, atsižvelgiant į aukštosios mokyklos veiklos tikslus;</w:t>
      </w:r>
    </w:p>
    <w:p w14:paraId="5D47A49E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8.2.8</w:t>
      </w:r>
      <w:r>
        <w:rPr>
          <w:sz w:val="22"/>
          <w:szCs w:val="22"/>
        </w:rPr>
        <w:t xml:space="preserve">. vidinio ir išorinio vertinimo rezultatų panaudojimas tobulinant aukštosios mokyklos valdymą; </w:t>
      </w:r>
    </w:p>
    <w:p w14:paraId="5D47A49F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8.2.9</w:t>
      </w:r>
      <w:r>
        <w:rPr>
          <w:sz w:val="22"/>
          <w:szCs w:val="22"/>
        </w:rPr>
        <w:t>. vertinimo išvadų ir sprendimų skelbimas, inform</w:t>
      </w:r>
      <w:r>
        <w:rPr>
          <w:sz w:val="22"/>
          <w:szCs w:val="22"/>
        </w:rPr>
        <w:t>acijos apie aukštosios mokyklos veiklą (</w:t>
      </w:r>
      <w:r>
        <w:rPr>
          <w:bCs/>
          <w:iCs/>
          <w:color w:val="000000"/>
          <w:sz w:val="22"/>
          <w:szCs w:val="22"/>
        </w:rPr>
        <w:t>siūlomos naujos studijų programos ir jų atrankos kriterijai, numatomi šių programų studijų rezultatai, jas baigus suteikiamos kvalifikacijos, dėstymo, studijavimo ir pasiekimų vertinimo procedūros,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sėkmingai baigusių</w:t>
      </w:r>
      <w:r>
        <w:rPr>
          <w:bCs/>
          <w:iCs/>
          <w:color w:val="000000"/>
          <w:sz w:val="22"/>
          <w:szCs w:val="22"/>
        </w:rPr>
        <w:t xml:space="preserve"> studijas studentų skaičius ir mokymosi galimybių studentams teikimas bei informacija apie absolventų </w:t>
      </w:r>
      <w:proofErr w:type="spellStart"/>
      <w:r>
        <w:rPr>
          <w:bCs/>
          <w:iCs/>
          <w:color w:val="000000"/>
          <w:sz w:val="22"/>
          <w:szCs w:val="22"/>
        </w:rPr>
        <w:t>įsidarbinamumą</w:t>
      </w:r>
      <w:proofErr w:type="spellEnd"/>
      <w:r>
        <w:rPr>
          <w:sz w:val="22"/>
          <w:szCs w:val="22"/>
        </w:rPr>
        <w:t>);</w:t>
      </w:r>
      <w:r>
        <w:rPr>
          <w:bCs/>
          <w:iCs/>
          <w:color w:val="000000"/>
          <w:sz w:val="22"/>
          <w:szCs w:val="22"/>
        </w:rPr>
        <w:t xml:space="preserve"> </w:t>
      </w:r>
    </w:p>
    <w:p w14:paraId="5D47A4A0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8.2.10</w:t>
      </w:r>
      <w:r>
        <w:rPr>
          <w:sz w:val="22"/>
          <w:szCs w:val="22"/>
        </w:rPr>
        <w:t>. akademinės etikos nuostatos ir jų įgyvendinimo užtikrinimo procedūros, studentų apeliavimo procedūrų įgyvendinimas.“;</w:t>
      </w:r>
    </w:p>
    <w:p w14:paraId="5D47A4A1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>.   9.2. punktą ir išdėstau jį taip:</w:t>
      </w:r>
    </w:p>
    <w:p w14:paraId="5D47A4A2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9.2</w:t>
      </w:r>
      <w:r>
        <w:rPr>
          <w:sz w:val="22"/>
          <w:szCs w:val="22"/>
        </w:rPr>
        <w:t>. Siekiant įvertinti studijų ir mokymosi visą gyvenimą sąlygų dermę su Europos aukštojo mokslo erdvės nuostatomis bei su aukštuoju mokslu susijusiais Europos Sąjungos dokumentais, analizuojama:</w:t>
      </w:r>
    </w:p>
    <w:p w14:paraId="5D47A4A3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9.2.1</w:t>
      </w:r>
      <w:r>
        <w:rPr>
          <w:sz w:val="22"/>
          <w:szCs w:val="22"/>
        </w:rPr>
        <w:t>. auk</w:t>
      </w:r>
      <w:r>
        <w:rPr>
          <w:sz w:val="22"/>
          <w:szCs w:val="22"/>
        </w:rPr>
        <w:t>štosios mokyklos strateginių dokumentų studijų ir mokymosi visą gyvenimą srityje atitiktis Europos aukštojo mokslo erdvės nuostatoms bei su aukštuoju mokslu susijusiems Europos Sąjungos dokumentams;</w:t>
      </w:r>
    </w:p>
    <w:p w14:paraId="5D47A4A4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9.2.2</w:t>
      </w:r>
      <w:r>
        <w:rPr>
          <w:sz w:val="22"/>
          <w:szCs w:val="22"/>
        </w:rPr>
        <w:t>. dėstytojų ir studentų (išvykstančiųjų ir atvyk</w:t>
      </w:r>
      <w:r>
        <w:rPr>
          <w:sz w:val="22"/>
          <w:szCs w:val="22"/>
        </w:rPr>
        <w:t xml:space="preserve">stančiųjų) tarptautinio </w:t>
      </w:r>
      <w:proofErr w:type="spellStart"/>
      <w:r>
        <w:rPr>
          <w:sz w:val="22"/>
          <w:szCs w:val="22"/>
        </w:rPr>
        <w:t>judumo</w:t>
      </w:r>
      <w:proofErr w:type="spellEnd"/>
      <w:r>
        <w:rPr>
          <w:sz w:val="22"/>
          <w:szCs w:val="22"/>
        </w:rPr>
        <w:t xml:space="preserve"> dinamika ir poveikis aukštosios mokyklos veiklai;</w:t>
      </w:r>
    </w:p>
    <w:p w14:paraId="5D47A4A5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rFonts w:ascii="Arial" w:hAnsi="Arial" w:cs="Arial"/>
          <w:sz w:val="29"/>
          <w:szCs w:val="29"/>
        </w:rPr>
      </w:pPr>
      <w:r>
        <w:rPr>
          <w:sz w:val="22"/>
          <w:szCs w:val="22"/>
        </w:rPr>
        <w:t>9.2.3</w:t>
      </w:r>
      <w:r>
        <w:rPr>
          <w:sz w:val="22"/>
          <w:szCs w:val="22"/>
        </w:rPr>
        <w:t>. studijų įgyvendinimas, į studentus orientuoto mokymo užtikrinimas (sąlygų studentams pasirinkti mokymosi kelius, siekiant, kad jie taptų atsakingi už savo studijas,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sudarymas; </w:t>
      </w:r>
      <w:r>
        <w:rPr>
          <w:sz w:val="22"/>
          <w:szCs w:val="22"/>
        </w:rPr>
        <w:t>nuolatinis studijų proceso peržiūrėjimas ir įvertinimas</w:t>
      </w:r>
      <w:r>
        <w:rPr>
          <w:color w:val="000000"/>
          <w:sz w:val="22"/>
          <w:szCs w:val="22"/>
        </w:rPr>
        <w:t>; studentų įtraukimas į visus studijų programos kūrimo, įgyvendinimo ir vertinimo lygius, tinkamų studijų ir vertinimo metodų parinkimas ir kt.</w:t>
      </w:r>
      <w:r>
        <w:rPr>
          <w:sz w:val="22"/>
          <w:szCs w:val="22"/>
        </w:rPr>
        <w:t>);</w:t>
      </w:r>
    </w:p>
    <w:p w14:paraId="5D47A4A6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9.2.4</w:t>
      </w:r>
      <w:r>
        <w:rPr>
          <w:sz w:val="22"/>
          <w:szCs w:val="22"/>
        </w:rPr>
        <w:t>. studentų priėmimo tvarka ir rezu</w:t>
      </w:r>
      <w:r>
        <w:rPr>
          <w:sz w:val="22"/>
          <w:szCs w:val="22"/>
        </w:rPr>
        <w:t>ltatai, studentų pažanga, studijų pripažinimo ir baigimo dokumentų išdavimas;</w:t>
      </w:r>
    </w:p>
    <w:p w14:paraId="5D47A4A7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9.2.5</w:t>
      </w:r>
      <w:r>
        <w:rPr>
          <w:sz w:val="22"/>
          <w:szCs w:val="22"/>
        </w:rPr>
        <w:t xml:space="preserve">.vidinio ir išorinio vertinimo rezultatų panaudojimas tobulinant vykdomas studijas ir mokymosi visą gyvenimą sąlygas; </w:t>
      </w:r>
    </w:p>
    <w:p w14:paraId="5D47A4A8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9.2.6</w:t>
      </w:r>
      <w:r>
        <w:rPr>
          <w:sz w:val="22"/>
          <w:szCs w:val="22"/>
        </w:rPr>
        <w:t xml:space="preserve">. galimybės dėstytojams tobulinti </w:t>
      </w:r>
      <w:r>
        <w:rPr>
          <w:sz w:val="22"/>
          <w:szCs w:val="22"/>
        </w:rPr>
        <w:t>pedagogines kompetencijas, į studijų rezultatus orientuotų naujovių ir naujų technologijų naudojimo skatinimas;</w:t>
      </w:r>
    </w:p>
    <w:p w14:paraId="5D47A4A9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9.2.7</w:t>
      </w:r>
      <w:r>
        <w:rPr>
          <w:sz w:val="22"/>
          <w:szCs w:val="22"/>
        </w:rPr>
        <w:t xml:space="preserve">. užsienio kvalifikacijų ir dalinių studijų pripažinimo procedūros ir praktika bei jų atitiktis </w:t>
      </w:r>
      <w:r>
        <w:rPr>
          <w:color w:val="000000"/>
          <w:sz w:val="22"/>
          <w:szCs w:val="22"/>
        </w:rPr>
        <w:t>Europos Tarybos ir UNESCO kvalifikacijų</w:t>
      </w:r>
      <w:r>
        <w:rPr>
          <w:color w:val="000000"/>
          <w:sz w:val="22"/>
          <w:szCs w:val="22"/>
        </w:rPr>
        <w:t xml:space="preserve">, susijusių su aukštuoju mokslu, pripažinimo Europos regiono valstybėse konvencijos (Lisabonos pripažinimo konvencijos), ratifikuotos </w:t>
      </w:r>
      <w:r>
        <w:rPr>
          <w:color w:val="000000"/>
          <w:sz w:val="22"/>
          <w:szCs w:val="22"/>
          <w:lang w:eastAsia="lt-LT"/>
        </w:rPr>
        <w:t xml:space="preserve">Lietuvos Respublikos </w:t>
      </w:r>
      <w:r>
        <w:rPr>
          <w:color w:val="000000"/>
          <w:sz w:val="22"/>
          <w:szCs w:val="22"/>
        </w:rPr>
        <w:t xml:space="preserve">1998 m. spalio 15 d. </w:t>
      </w:r>
      <w:r>
        <w:rPr>
          <w:color w:val="000000"/>
          <w:sz w:val="22"/>
          <w:szCs w:val="22"/>
          <w:lang w:eastAsia="lt-LT"/>
        </w:rPr>
        <w:t xml:space="preserve">įstatymu </w:t>
      </w:r>
      <w:r>
        <w:rPr>
          <w:color w:val="000000"/>
          <w:sz w:val="22"/>
          <w:szCs w:val="22"/>
        </w:rPr>
        <w:t>Nr. VIII-891</w:t>
      </w:r>
      <w:r>
        <w:rPr>
          <w:color w:val="000000"/>
          <w:sz w:val="22"/>
          <w:szCs w:val="22"/>
          <w:lang w:eastAsia="lt-LT"/>
        </w:rPr>
        <w:t>,</w:t>
      </w:r>
      <w:r>
        <w:rPr>
          <w:sz w:val="22"/>
          <w:szCs w:val="22"/>
        </w:rPr>
        <w:t xml:space="preserve"> principams; neformalaus ir savaiminio mokymosi pripažinim</w:t>
      </w:r>
      <w:r>
        <w:rPr>
          <w:sz w:val="22"/>
          <w:szCs w:val="22"/>
        </w:rPr>
        <w:t>o procedūros ir praktika bei jų atitiktis nacionalinių ir tarptautinių dokumentų nuostatoms.“;</w:t>
      </w:r>
    </w:p>
    <w:p w14:paraId="5D47A4AA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>. 12 punktą ir išdėstau jį taip:</w:t>
      </w:r>
    </w:p>
    <w:p w14:paraId="5D47A4AB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12</w:t>
      </w:r>
      <w:r>
        <w:rPr>
          <w:sz w:val="22"/>
          <w:szCs w:val="22"/>
        </w:rPr>
        <w:t>. Aukštoji mokykla atlieka savianalizę ir parengia savianalizės suvestinę.“;</w:t>
      </w:r>
    </w:p>
    <w:p w14:paraId="5D47A4AC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1.4</w:t>
      </w:r>
      <w:r>
        <w:rPr>
          <w:sz w:val="22"/>
          <w:szCs w:val="22"/>
        </w:rPr>
        <w:t>. 17 punktą ir išdėsta</w:t>
      </w:r>
      <w:r>
        <w:rPr>
          <w:sz w:val="22"/>
          <w:szCs w:val="22"/>
        </w:rPr>
        <w:t>u jį taip:</w:t>
      </w:r>
    </w:p>
    <w:p w14:paraId="5D47A4AD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17</w:t>
      </w:r>
      <w:r>
        <w:rPr>
          <w:sz w:val="22"/>
          <w:szCs w:val="22"/>
        </w:rPr>
        <w:t>. Savianalizės suvestinėje analizuojama aukštosios mokyklos veikla pagal pateikiamus paskutinių šešerių metų duomenis. Jei organizuojamas pakartotinis vertinimas, Savianalizės suvestinėje analizuojami paskutinių dvejų metų duomenys. Jei auk</w:t>
      </w:r>
      <w:r>
        <w:rPr>
          <w:sz w:val="22"/>
          <w:szCs w:val="22"/>
        </w:rPr>
        <w:t>štoji mokykla veiklą vykdo trumpiau, analizuojami viso aukštosios mokyklos veiklos laikotarpio duomenys.“;</w:t>
      </w:r>
    </w:p>
    <w:p w14:paraId="5D47A4AE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1.5</w:t>
      </w:r>
      <w:r>
        <w:rPr>
          <w:sz w:val="22"/>
          <w:szCs w:val="22"/>
        </w:rPr>
        <w:t>. 18 punktą ir išdėstau jį taip:</w:t>
      </w:r>
    </w:p>
    <w:p w14:paraId="5D47A4AF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18</w:t>
      </w:r>
      <w:r>
        <w:rPr>
          <w:sz w:val="22"/>
          <w:szCs w:val="22"/>
        </w:rPr>
        <w:t>. Aukštoji mokykla pateikia Įgaliotai institucijai prašymą įvertinti aukštosios mokyklos veiklą ir s</w:t>
      </w:r>
      <w:r>
        <w:rPr>
          <w:sz w:val="22"/>
          <w:szCs w:val="22"/>
        </w:rPr>
        <w:t>avianalizės suvestinę. Pateikiama po 1 spausdintą savianalizės suvestinės egzempliorių lietuvių ir anglų kalbomis bei elektronine forma (DOC arba PDF tipo dokumente) elektroniniu paštu arba kompiuterinėje laikmenoje.“;</w:t>
      </w:r>
    </w:p>
    <w:p w14:paraId="5D47A4B0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1.6</w:t>
      </w:r>
      <w:r>
        <w:rPr>
          <w:sz w:val="22"/>
          <w:szCs w:val="22"/>
        </w:rPr>
        <w:t>.  25.2. punktą ir išdėsta</w:t>
      </w:r>
      <w:r>
        <w:rPr>
          <w:sz w:val="22"/>
          <w:szCs w:val="22"/>
        </w:rPr>
        <w:t>u jį taip:</w:t>
      </w:r>
    </w:p>
    <w:p w14:paraId="5D47A4B1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25.2</w:t>
      </w:r>
      <w:r>
        <w:rPr>
          <w:sz w:val="22"/>
          <w:szCs w:val="22"/>
        </w:rPr>
        <w:t>. Nešališkumo principas. Ekspertas vertinimo metu veikia nepriklausomai, neatstovauja jokios institucijos, neturi interesų vertinamojoje institucijoje ir yra nešališkas.“;</w:t>
      </w:r>
    </w:p>
    <w:p w14:paraId="5D47A4B2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1.7</w:t>
      </w:r>
      <w:r>
        <w:rPr>
          <w:sz w:val="22"/>
          <w:szCs w:val="22"/>
        </w:rPr>
        <w:t>. 54 punktą ir išdėstau jį taip:</w:t>
      </w:r>
    </w:p>
    <w:p w14:paraId="5D47A4B3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54</w:t>
      </w:r>
      <w:r>
        <w:rPr>
          <w:sz w:val="22"/>
          <w:szCs w:val="22"/>
        </w:rPr>
        <w:t xml:space="preserve">. Po išorinio </w:t>
      </w:r>
      <w:r>
        <w:rPr>
          <w:sz w:val="22"/>
          <w:szCs w:val="22"/>
        </w:rPr>
        <w:t>veiklos vertinimo aukštoji mokykla numato priemones savianalizės ir išorinio vertinimo metu nustatytiems trūkumams šalinti, aukštosios mokyklos veiklai tobulinti. Šias priemones aukštoji mokykla privalo paskelbti viešai ne vėliau kaip per 6 mėn. nuo sprend</w:t>
      </w:r>
      <w:r>
        <w:rPr>
          <w:sz w:val="22"/>
          <w:szCs w:val="22"/>
        </w:rPr>
        <w:t>imo dėl aukštosios mokyklos įvertinimo įsigaliojimo dienos bei apie tai informuoti Įgaliotą instituciją. Jeigu aukštoji mokykla pakeičia veiklos tobulinimo plano paskelbimo vietą, ji privalo apie tai nedelsiant informuoti Įgaliotą instituciją.“.</w:t>
      </w:r>
    </w:p>
    <w:p w14:paraId="5D47A4B4" w14:textId="2AF50A68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color w:val="000000"/>
          <w:spacing w:val="50"/>
          <w:sz w:val="23"/>
          <w:szCs w:val="23"/>
        </w:rPr>
        <w:t>Papildau</w:t>
      </w:r>
      <w:r>
        <w:rPr>
          <w:sz w:val="22"/>
          <w:szCs w:val="22"/>
        </w:rPr>
        <w:t xml:space="preserve"> Metodiką:</w:t>
      </w:r>
    </w:p>
    <w:p w14:paraId="5D47A4B5" w14:textId="4B9840A6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10.2.4. punktu:</w:t>
      </w:r>
    </w:p>
    <w:p w14:paraId="5D47A4B6" w14:textId="77777777" w:rsidR="00F555F4" w:rsidRDefault="00925BC9">
      <w:pPr>
        <w:suppressAutoHyphens/>
        <w:spacing w:line="278" w:lineRule="auto"/>
        <w:ind w:firstLine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10.2.4</w:t>
      </w:r>
      <w:r>
        <w:rPr>
          <w:sz w:val="22"/>
          <w:szCs w:val="22"/>
        </w:rPr>
        <w:t>. vidinio ir išorinio vertinimo rezultatų panaudojimas tobulinant mokslo ir (arba) meno veiklą.“;</w:t>
      </w:r>
    </w:p>
    <w:p w14:paraId="5D47A4B7" w14:textId="0D81E76F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11.6 punktu:</w:t>
      </w:r>
    </w:p>
    <w:p w14:paraId="5D47A4B8" w14:textId="77777777" w:rsidR="00F555F4" w:rsidRDefault="00925BC9">
      <w:pPr>
        <w:suppressAutoHyphens/>
        <w:spacing w:line="278" w:lineRule="auto"/>
        <w:ind w:left="312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11.6</w:t>
      </w:r>
      <w:r>
        <w:rPr>
          <w:sz w:val="22"/>
          <w:szCs w:val="22"/>
        </w:rPr>
        <w:t xml:space="preserve">. vidinio ir išorinio vertinimo rezultatų panaudojimas </w:t>
      </w:r>
      <w:r>
        <w:rPr>
          <w:sz w:val="22"/>
          <w:szCs w:val="22"/>
        </w:rPr>
        <w:t>tobulinant poveikio regionų ir visos šalies raidai veiklos sritį.“.</w:t>
      </w:r>
    </w:p>
    <w:p w14:paraId="5D47A4B9" w14:textId="30001066" w:rsidR="00F555F4" w:rsidRDefault="00925BC9">
      <w:pPr>
        <w:suppressAutoHyphens/>
        <w:spacing w:line="278" w:lineRule="auto"/>
        <w:ind w:left="672" w:hanging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color w:val="000000"/>
          <w:spacing w:val="50"/>
          <w:sz w:val="23"/>
          <w:szCs w:val="23"/>
        </w:rPr>
        <w:t>Nustatau</w:t>
      </w:r>
      <w:r>
        <w:rPr>
          <w:sz w:val="22"/>
          <w:szCs w:val="22"/>
        </w:rPr>
        <w:t xml:space="preserve">, kad šis įsakymas įsigalioja </w:t>
      </w:r>
      <w:r>
        <w:rPr>
          <w:b/>
          <w:sz w:val="22"/>
          <w:szCs w:val="22"/>
        </w:rPr>
        <w:t>2016 m. rugsėjo 1 d.</w:t>
      </w:r>
    </w:p>
    <w:p w14:paraId="5D47A4BC" w14:textId="762B291F" w:rsidR="00F555F4" w:rsidRDefault="00925BC9" w:rsidP="00925BC9">
      <w:pPr>
        <w:tabs>
          <w:tab w:val="left" w:pos="709"/>
        </w:tabs>
        <w:suppressAutoHyphens/>
        <w:spacing w:line="288" w:lineRule="auto"/>
        <w:ind w:firstLine="349"/>
        <w:jc w:val="both"/>
        <w:textAlignment w:val="center"/>
        <w:rPr>
          <w:rFonts w:eastAsia="Calibri"/>
          <w:szCs w:val="24"/>
        </w:rPr>
      </w:pPr>
      <w:r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50"/>
          <w:sz w:val="23"/>
          <w:szCs w:val="23"/>
        </w:rPr>
        <w:t>Nustatau,</w:t>
      </w:r>
      <w:r>
        <w:rPr>
          <w:color w:val="000000"/>
          <w:sz w:val="23"/>
          <w:szCs w:val="23"/>
        </w:rPr>
        <w:t xml:space="preserve"> kad aukštųjų mokyklų prašymai dėl veiklos įvertinimo ir (ar) jų akreditavimo, gauti iki šio įsakymo</w:t>
      </w:r>
      <w:r>
        <w:rPr>
          <w:color w:val="000000"/>
          <w:sz w:val="23"/>
          <w:szCs w:val="23"/>
        </w:rPr>
        <w:t xml:space="preserve"> įsigaliojimo dienos nagrinėjami vadovaujantis šių prašymu metu galiojusia Aukštosios mokyklos veiklos vertinimo metodikos redakcija. </w:t>
      </w:r>
    </w:p>
    <w:p w14:paraId="3411DAD2" w14:textId="77777777" w:rsidR="00925BC9" w:rsidRDefault="00925BC9">
      <w:pPr>
        <w:suppressAutoHyphens/>
        <w:jc w:val="both"/>
        <w:textAlignment w:val="center"/>
      </w:pPr>
    </w:p>
    <w:p w14:paraId="40DB3F5D" w14:textId="77777777" w:rsidR="00925BC9" w:rsidRDefault="00925BC9">
      <w:pPr>
        <w:suppressAutoHyphens/>
        <w:jc w:val="both"/>
        <w:textAlignment w:val="center"/>
      </w:pPr>
    </w:p>
    <w:p w14:paraId="361AAB5A" w14:textId="77777777" w:rsidR="00925BC9" w:rsidRDefault="00925BC9">
      <w:pPr>
        <w:suppressAutoHyphens/>
        <w:jc w:val="both"/>
        <w:textAlignment w:val="center"/>
      </w:pPr>
    </w:p>
    <w:p w14:paraId="5D47A4BD" w14:textId="2C046D20" w:rsidR="00F555F4" w:rsidRDefault="00925BC9">
      <w:pPr>
        <w:suppressAutoHyphens/>
        <w:jc w:val="both"/>
        <w:textAlignment w:val="center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>Laikinai einanti direktoriaus pareigas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Nora </w:t>
      </w:r>
      <w:proofErr w:type="spellStart"/>
      <w:r>
        <w:rPr>
          <w:rFonts w:eastAsia="Calibri"/>
          <w:sz w:val="22"/>
          <w:szCs w:val="22"/>
        </w:rPr>
        <w:t>Skaburskienė</w:t>
      </w:r>
      <w:proofErr w:type="spellEnd"/>
    </w:p>
    <w:sectPr w:rsidR="00F555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0F"/>
    <w:rsid w:val="00925BC9"/>
    <w:rsid w:val="00E0650F"/>
    <w:rsid w:val="00F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7A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2016-07-25T05:25:00Z</dcterms:created>
  <dc:creator>Ieva Vaiciukevičienė</dc:creator>
  <lastModifiedBy>LAUKIONYTĖ Irena</lastModifiedBy>
  <dcterms:modified xsi:type="dcterms:W3CDTF">2016-07-25T08:39:00Z</dcterms:modified>
  <revision>3</revision>
</coreProperties>
</file>