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201F5416" wp14:editId="6CE98A6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MEDŽIOKLĖS ĮSTATYMO NR. IX-966 4 IR 5 STRAIPSNIŲ PAKEITIMO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rugsėjo</w:t>
      </w:r>
      <w:r>
        <w:rPr>
          <w:szCs w:val="24"/>
        </w:rPr>
        <w:t xml:space="preserve"> </w:t>
      </w:r>
      <w:r>
        <w:rPr>
          <w:szCs w:val="24"/>
          <w:lang w:val="en-US"/>
        </w:rPr>
        <w:t>24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XIII-3299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4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4 straipsnio 2 dalį ir ją išdėstyti taip: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Medžiojamųjų gyvūnų, laikomų ir naudojamų nelaisvėje pagal su Valstybine maisto ir veterinarijos tarnyba suderintas ir aplinkos ministro patvirtintas Laukinių gyvūnų naudojimo taisykles, išteklių naudojimo teisė priklauso šių gyvūnų savininkui.“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5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netekusiu galios 5 straipsnio 2 dalies 4 punktą.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  <w:lang w:eastAsia="lt-LT"/>
        </w:rPr>
        <w:t xml:space="preserve">Įstatymo įsigaliojimas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Šis įstatymas įsigalioja </w:t>
      </w:r>
      <w:r>
        <w:rPr>
          <w:szCs w:val="24"/>
        </w:rPr>
        <w:t>2021 m. gegužės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664</Characters>
  <Application>Microsoft Office Word</Application>
  <DocSecurity>4</DocSecurity>
  <Lines>28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751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2020-10-09T11:53:00Z</dcterms:created>
  <dc:creator>„Windows“ vartotojas</dc:creator>
  <lastModifiedBy>adlibuser</lastModifiedBy>
  <lastPrinted>2020-09-24T10:02:00Z</lastPrinted>
  <dcterms:modified xsi:type="dcterms:W3CDTF">2020-10-09T11:53:00Z</dcterms:modified>
  <revision>2</revision>
</coreProperties>
</file>