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BC22BC1" wp14:editId="0315588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6, 75 IR 589 STRAIPSNIŲ PAKEITIMO</w:t>
      </w:r>
    </w:p>
    <w:p>
      <w:pPr>
        <w:jc w:val="center"/>
        <w:rPr>
          <w:caps/>
        </w:rPr>
      </w:pPr>
      <w:r>
        <w:rPr>
          <w:b/>
          <w:caps/>
        </w:rPr>
        <w:t>ĮSTATYMAS</w:t>
      </w:r>
    </w:p>
    <w:p>
      <w:pPr>
        <w:jc w:val="center"/>
        <w:rPr>
          <w:b/>
          <w:caps/>
        </w:rPr>
      </w:pPr>
    </w:p>
    <w:p>
      <w:pPr>
        <w:jc w:val="center"/>
        <w:rPr>
          <w:szCs w:val="24"/>
        </w:rPr>
      </w:pPr>
      <w:r>
        <w:rPr>
          <w:szCs w:val="24"/>
        </w:rPr>
        <w:t>2018 m. birželio 26 d. Nr. XIII-1293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6 straipsnio pakeitimas</w:t>
      </w:r>
    </w:p>
    <w:p>
      <w:pPr>
        <w:spacing w:line="360" w:lineRule="auto"/>
        <w:ind w:firstLine="720"/>
        <w:jc w:val="both"/>
        <w:rPr>
          <w:szCs w:val="24"/>
        </w:rPr>
      </w:pPr>
      <w:r>
        <w:rPr>
          <w:szCs w:val="24"/>
        </w:rPr>
        <w:t>Pakeisti 6 straipsnio 2 dalį ir ją išdėstyti taip:</w:t>
      </w:r>
    </w:p>
    <w:p>
      <w:pPr>
        <w:spacing w:line="360" w:lineRule="auto"/>
        <w:ind w:firstLine="720"/>
        <w:jc w:val="both"/>
        <w:rPr>
          <w:szCs w:val="24"/>
        </w:rPr>
      </w:pPr>
      <w:r>
        <w:rPr>
          <w:szCs w:val="24"/>
        </w:rPr>
        <w:t>„</w:t>
      </w:r>
      <w:r>
        <w:rPr>
          <w:color w:val="000000"/>
          <w:szCs w:val="24"/>
        </w:rPr>
        <w:t>2</w:t>
      </w:r>
      <w:r>
        <w:rPr>
          <w:color w:val="000000"/>
          <w:szCs w:val="24"/>
        </w:rPr>
        <w:t>. Jeigu administracinio nusižengimo požymių turinčią veiką padarė nepilnametis, kuriam iki šios veikos padarymo nebuvo sukakę šešiolika metų, atlikus tyrimą, informacija apie šią veiką ir ją padariusį nepilnametį turi būti perduota savivaldybės administracijos direktoriui, taip pat Valstybės vaiko teisių apsaugos ir įvaikinimo tarnybai prie Socialinės apsaugos ir darbo ministerijos (toliau – Valstybės vaiko teisių apsaugos ir įvaikinimo tarnyba).</w:t>
      </w:r>
      <w:r>
        <w:rPr>
          <w:szCs w:val="24"/>
        </w:rPr>
        <w:t>“</w:t>
      </w:r>
    </w:p>
    <w:p>
      <w:pPr>
        <w:tabs>
          <w:tab w:val="left" w:pos="0"/>
        </w:tabs>
        <w:spacing w:line="360" w:lineRule="auto"/>
        <w:ind w:firstLine="720"/>
        <w:jc w:val="both"/>
        <w:rPr>
          <w:szCs w:val="24"/>
        </w:rPr>
      </w:pPr>
    </w:p>
    <w:p>
      <w:pPr>
        <w:tabs>
          <w:tab w:val="left" w:pos="0"/>
        </w:tabs>
        <w:spacing w:line="360" w:lineRule="auto"/>
        <w:ind w:firstLine="720"/>
        <w:jc w:val="both"/>
        <w:rPr>
          <w:b/>
          <w:szCs w:val="24"/>
        </w:rPr>
      </w:pPr>
      <w:r>
        <w:rPr>
          <w:b/>
          <w:szCs w:val="24"/>
        </w:rPr>
        <w:t>2</w:t>
      </w:r>
      <w:r>
        <w:rPr>
          <w:b/>
          <w:szCs w:val="24"/>
        </w:rPr>
        <w:t xml:space="preserve"> straipsnis. </w:t>
      </w:r>
      <w:r>
        <w:rPr>
          <w:b/>
          <w:szCs w:val="24"/>
        </w:rPr>
        <w:t>75 straipsnio pakeitimas</w:t>
      </w:r>
    </w:p>
    <w:p>
      <w:pPr>
        <w:tabs>
          <w:tab w:val="left" w:pos="0"/>
        </w:tabs>
        <w:spacing w:line="360" w:lineRule="auto"/>
        <w:ind w:firstLine="720"/>
        <w:jc w:val="both"/>
        <w:rPr>
          <w:szCs w:val="24"/>
        </w:rPr>
      </w:pPr>
      <w:r>
        <w:rPr>
          <w:szCs w:val="24"/>
        </w:rPr>
        <w:t>Pakeisti 75 straipsnį ir jį išdėstyti taip:</w:t>
      </w:r>
    </w:p>
    <w:p>
      <w:pPr>
        <w:spacing w:line="360" w:lineRule="auto"/>
        <w:ind w:left="2268" w:hanging="1548"/>
        <w:jc w:val="both"/>
        <w:rPr>
          <w:color w:val="000000"/>
          <w:szCs w:val="24"/>
          <w:lang w:eastAsia="lt-LT"/>
        </w:rPr>
      </w:pPr>
      <w:r>
        <w:rPr>
          <w:szCs w:val="24"/>
        </w:rPr>
        <w:t>„</w:t>
      </w:r>
      <w:r>
        <w:rPr>
          <w:b/>
          <w:bCs/>
          <w:color w:val="000000"/>
          <w:szCs w:val="24"/>
          <w:lang w:eastAsia="lt-LT"/>
        </w:rPr>
        <w:t>75</w:t>
      </w:r>
      <w:r>
        <w:rPr>
          <w:b/>
          <w:bCs/>
          <w:color w:val="000000"/>
          <w:szCs w:val="24"/>
          <w:lang w:eastAsia="lt-LT"/>
        </w:rPr>
        <w:t xml:space="preserve"> straipsnis. </w:t>
      </w:r>
      <w:r>
        <w:rPr>
          <w:b/>
          <w:bCs/>
          <w:color w:val="000000"/>
          <w:szCs w:val="24"/>
          <w:lang w:eastAsia="lt-LT"/>
        </w:rPr>
        <w:t>Melagingos informacijos suteikimas, kliudymas nustatyti vaiko globą (rūpybą) ir informacijos nepranešimas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Nepranešimas </w:t>
      </w:r>
      <w:r>
        <w:rPr>
          <w:color w:val="000000"/>
          <w:szCs w:val="24"/>
        </w:rPr>
        <w:t>Valstybės vaiko teisių apsaugos ir įvaikinimo tarnybai</w:t>
      </w:r>
      <w:r>
        <w:rPr>
          <w:color w:val="000000"/>
          <w:szCs w:val="24"/>
          <w:lang w:eastAsia="lt-LT"/>
        </w:rPr>
        <w:t>, policijai ar prokuratūrai apie tėvų, kitų teisėtų vaiko atstovų ir kitų asmenų daromus vaiko teisių pažeidimus</w:t>
      </w:r>
    </w:p>
    <w:p>
      <w:pPr>
        <w:spacing w:line="360" w:lineRule="auto"/>
        <w:ind w:firstLine="720"/>
        <w:jc w:val="both"/>
        <w:rPr>
          <w:color w:val="000000"/>
          <w:szCs w:val="24"/>
          <w:lang w:eastAsia="lt-LT"/>
        </w:rPr>
      </w:pPr>
      <w:r>
        <w:rPr>
          <w:color w:val="000000"/>
          <w:szCs w:val="24"/>
          <w:lang w:eastAsia="lt-LT"/>
        </w:rPr>
        <w:t>užtraukia įspėjimą arba baudą mokymo, auklėjimo, sveikatos priežiūros ir kitų institucijų bei įstaigų, kurių prižiūrimas yra vaikas, vadovams, kitiems darbuotojams, taip pat kitiems asmenims nuo trisdešimt iki vieno šimto dvidešimt eurų.</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Nepranešimas </w:t>
      </w:r>
      <w:r>
        <w:rPr>
          <w:color w:val="000000"/>
          <w:szCs w:val="24"/>
        </w:rPr>
        <w:t>Valstybės vaiko teisių apsaugos ir įvaikinimo tarnybai</w:t>
      </w:r>
      <w:r>
        <w:rPr>
          <w:color w:val="000000"/>
          <w:szCs w:val="24"/>
          <w:lang w:eastAsia="lt-LT"/>
        </w:rPr>
        <w:t>, policijai, prokuratūrai ar vaiko atstovams pagal įstatymą apie pasišalinusio iš globos įstaigos, socializacijos centro ar pabėgusio iš šeimos vaiko buvimo vietą</w:t>
      </w:r>
    </w:p>
    <w:p>
      <w:pPr>
        <w:spacing w:line="360" w:lineRule="auto"/>
        <w:ind w:firstLine="720"/>
        <w:jc w:val="both"/>
        <w:rPr>
          <w:color w:val="000000"/>
          <w:szCs w:val="24"/>
          <w:lang w:eastAsia="lt-LT"/>
        </w:rPr>
      </w:pPr>
      <w:r>
        <w:rPr>
          <w:color w:val="000000"/>
          <w:szCs w:val="24"/>
          <w:lang w:eastAsia="lt-LT"/>
        </w:rPr>
        <w:t>užtraukia įspėjimą arba baudą nuo trisdešimt iki vieno šimto dvidešimt eurų.</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Melagingos informacijos apie be tėvų globos likusius nepilnamečius, taip pat apie būtinumą ginti jų teises ir interesus suteikimas </w:t>
      </w:r>
      <w:r>
        <w:rPr>
          <w:color w:val="000000"/>
          <w:szCs w:val="24"/>
        </w:rPr>
        <w:t>Valstybės vaiko teisių apsaugos ir įvaikinimo tarnybai</w:t>
      </w:r>
      <w:r>
        <w:rPr>
          <w:color w:val="000000"/>
          <w:szCs w:val="24"/>
          <w:lang w:eastAsia="lt-LT"/>
        </w:rPr>
        <w:t>, kliudymas nustatyti vaiko globą (rūpybą)</w:t>
      </w:r>
    </w:p>
    <w:p>
      <w:pPr>
        <w:spacing w:line="360" w:lineRule="auto"/>
        <w:ind w:firstLine="720"/>
        <w:jc w:val="both"/>
        <w:rPr>
          <w:szCs w:val="24"/>
        </w:rPr>
      </w:pPr>
      <w:r>
        <w:rPr>
          <w:color w:val="000000"/>
          <w:szCs w:val="24"/>
          <w:lang w:eastAsia="lt-LT"/>
        </w:rPr>
        <w:t>užtraukia baudą mokymo, auklėjimo, sveikatos priežiūros ir kitų institucijų bei įstaigų, kurių prižiūrimas yra vaikas, vadovams ir kitiems darbuotojams nuo trisdešimt iki vieno šimto keturiasdešimt eurų.</w:t>
      </w:r>
      <w:r>
        <w:rPr>
          <w:szCs w:val="24"/>
        </w:rPr>
        <w:t>“</w:t>
      </w:r>
    </w:p>
    <w:p>
      <w:pPr>
        <w:tabs>
          <w:tab w:val="left" w:pos="0"/>
        </w:tabs>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589 straipsnio pakeitimas</w:t>
      </w:r>
    </w:p>
    <w:p>
      <w:pPr>
        <w:spacing w:line="360" w:lineRule="auto"/>
        <w:ind w:firstLine="720"/>
        <w:jc w:val="both"/>
      </w:pPr>
      <w:r>
        <w:rPr>
          <w:color w:val="000000"/>
        </w:rPr>
        <w:t>1</w:t>
      </w:r>
      <w:r>
        <w:rPr>
          <w:color w:val="000000"/>
        </w:rPr>
        <w:t>. Papildyti 589 straipsnį nauju 71 punktu:</w:t>
      </w:r>
    </w:p>
    <w:p>
      <w:pPr>
        <w:tabs>
          <w:tab w:val="left" w:pos="0"/>
          <w:tab w:val="left" w:pos="1560"/>
        </w:tabs>
        <w:spacing w:line="360" w:lineRule="auto"/>
        <w:ind w:firstLine="720"/>
        <w:jc w:val="both"/>
        <w:rPr>
          <w:szCs w:val="24"/>
        </w:rPr>
      </w:pPr>
      <w:r>
        <w:rPr>
          <w:szCs w:val="24"/>
        </w:rPr>
        <w:t>„</w:t>
      </w:r>
      <w:r>
        <w:rPr>
          <w:szCs w:val="24"/>
        </w:rPr>
        <w:t>71</w:t>
      </w:r>
      <w:r>
        <w:rPr>
          <w:szCs w:val="24"/>
        </w:rPr>
        <w:t xml:space="preserve">) </w:t>
      </w:r>
      <w:r>
        <w:rPr>
          <w:color w:val="000000"/>
          <w:szCs w:val="24"/>
        </w:rPr>
        <w:t>Valstybės vaiko teisių apsaugos ir įvaikinimo tarnybos – dėl šio kodekso 72, 73, 74, 75, 80 straipsniuose numatytų administracinių nusižengimų;</w:t>
      </w:r>
      <w:r>
        <w:rPr>
          <w:szCs w:val="24"/>
        </w:rPr>
        <w:t>“.</w:t>
      </w:r>
    </w:p>
    <w:p>
      <w:pPr>
        <w:spacing w:line="360" w:lineRule="auto"/>
        <w:ind w:firstLine="720"/>
        <w:jc w:val="both"/>
      </w:pPr>
      <w:r>
        <w:rPr>
          <w:color w:val="000000"/>
        </w:rPr>
        <w:t>2</w:t>
      </w:r>
      <w:r>
        <w:rPr>
          <w:color w:val="000000"/>
        </w:rPr>
        <w:t>. Buvusius 589 straipsnio 71–100 punktus laikyti atitinkamai 72–101 punktais.</w:t>
      </w:r>
    </w:p>
    <w:p>
      <w:pPr>
        <w:spacing w:line="360" w:lineRule="auto"/>
        <w:ind w:firstLine="720"/>
        <w:jc w:val="both"/>
      </w:pPr>
      <w:r>
        <w:t>3</w:t>
      </w:r>
      <w:r>
        <w:t>. Pakeisti 589 straipsnio 82 punktą ir jį išdėstyti taip:</w:t>
      </w:r>
    </w:p>
    <w:p>
      <w:pPr>
        <w:tabs>
          <w:tab w:val="left" w:pos="0"/>
          <w:tab w:val="left" w:pos="1560"/>
        </w:tabs>
        <w:spacing w:line="360" w:lineRule="auto"/>
        <w:ind w:firstLine="720"/>
        <w:jc w:val="both"/>
        <w:rPr>
          <w:szCs w:val="24"/>
        </w:rPr>
      </w:pPr>
      <w:r>
        <w:rPr>
          <w:szCs w:val="24"/>
        </w:rPr>
        <w:t>„</w:t>
      </w:r>
      <w:r>
        <w:rPr>
          <w:szCs w:val="24"/>
        </w:rPr>
        <w:t>82</w:t>
      </w:r>
      <w:r>
        <w:rPr>
          <w:szCs w:val="24"/>
        </w:rPr>
        <w:t xml:space="preserve">) </w:t>
      </w:r>
      <w:r>
        <w:rPr>
          <w:color w:val="000000"/>
          <w:szCs w:val="24"/>
          <w:shd w:val="clear" w:color="auto" w:fill="FFFFFF"/>
        </w:rPr>
        <w:t>savivaldybių administracijų – dėl šio kodekso 46, 48, 78, 114 straipsniuose, 144 straipsnio 1, 4, 5 dalyse, 148, 149, 150, 152, 153, 154, 155, 156, 166, 167, 168, 178, 179, 180, 223, 224 straipsniuose, 225 straipsnio 1 dalyje, 281, 290, 291, 292, 294, 295, 296, 297, 298, 319, 332 straipsniuose, 333 straipsnio 7 dalyje, 335, 336, 344, 346, 347, 348, 349, 350, 359, 360, 365, 366, 367, 368 straipsniuose, 369 straipsnio 1, 2, 3, 4 dalyse, 371, 414 straipsniuose, 417 straipsnio 2 dalyje, 418, 419, 431 straipsniuose, 434 straipsnio 2 dalyje, 439, 446, 447 straipsniuose, 448 straipsnio 1, 2, 3 dalyse, 449, 457, 459, 484, 484</w:t>
      </w:r>
      <w:r>
        <w:rPr>
          <w:color w:val="000000"/>
          <w:szCs w:val="24"/>
          <w:shd w:val="clear" w:color="auto" w:fill="FFFFFF"/>
          <w:vertAlign w:val="superscript"/>
        </w:rPr>
        <w:t>1</w:t>
      </w:r>
      <w:r>
        <w:rPr>
          <w:color w:val="000000"/>
          <w:szCs w:val="24"/>
          <w:shd w:val="clear" w:color="auto" w:fill="FFFFFF"/>
        </w:rPr>
        <w:t>, 485, 488, 491, 492, 497, 498, 499, 500, 501, 502, 503, 505, 507, 516, 518, 519, 526, 529, 530, 546, 549 straipsniuose numatytų administracinių nusižengimų;</w:t>
      </w:r>
      <w:r>
        <w:rPr>
          <w:szCs w:val="24"/>
        </w:rPr>
        <w:t>“.</w:t>
      </w:r>
    </w:p>
    <w:p>
      <w:pPr>
        <w:spacing w:line="360" w:lineRule="auto"/>
        <w:ind w:firstLine="720"/>
        <w:jc w:val="both"/>
        <w:rPr>
          <w:szCs w:val="24"/>
        </w:rPr>
      </w:pPr>
    </w:p>
    <w:p>
      <w:pPr>
        <w:tabs>
          <w:tab w:val="left" w:pos="0"/>
        </w:tabs>
        <w:spacing w:line="360" w:lineRule="auto"/>
        <w:ind w:firstLine="720"/>
        <w:jc w:val="both"/>
        <w:rPr>
          <w:b/>
          <w:bCs/>
          <w:szCs w:val="24"/>
        </w:rPr>
      </w:pPr>
      <w:r>
        <w:rPr>
          <w:b/>
          <w:bCs/>
          <w:szCs w:val="24"/>
        </w:rPr>
        <w:t>4</w:t>
      </w:r>
      <w:r>
        <w:rPr>
          <w:b/>
          <w:bCs/>
          <w:szCs w:val="24"/>
        </w:rPr>
        <w:t xml:space="preserve"> straipsnis. </w:t>
      </w:r>
      <w:r>
        <w:rPr>
          <w:b/>
          <w:bCs/>
          <w:szCs w:val="24"/>
        </w:rPr>
        <w:t>Įstatymo įsigaliojimas</w:t>
      </w:r>
    </w:p>
    <w:p>
      <w:pPr>
        <w:spacing w:line="360" w:lineRule="auto"/>
        <w:ind w:firstLine="720"/>
        <w:jc w:val="both"/>
        <w:rPr>
          <w:szCs w:val="24"/>
          <w:lang w:eastAsia="lt-LT"/>
        </w:rPr>
      </w:pPr>
      <w:r>
        <w:rPr>
          <w:szCs w:val="24"/>
          <w:lang w:eastAsia="lt-LT"/>
        </w:rPr>
        <w:t>Šis įstatymas įsigalioja 2018 m. liepos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2941</Characters>
  <Application>Microsoft Office Word</Application>
  <DocSecurity>4</DocSecurity>
  <Lines>65</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3390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2018-06-27T11:13:00Z</dcterms:created>
  <dc:creator>MANIUŠKIENĖ Violeta</dc:creator>
  <lastModifiedBy>adlibuser</lastModifiedBy>
  <lastPrinted>2018-06-26T08:35:00Z</lastPrinted>
  <dcterms:modified xsi:type="dcterms:W3CDTF">2018-06-27T11:13:00Z</dcterms:modified>
  <revision>2</revision>
</coreProperties>
</file>