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C0366" w14:textId="3AC4F465" w:rsidR="00BA2972" w:rsidRDefault="00620160" w:rsidP="00620160">
      <w:pPr>
        <w:tabs>
          <w:tab w:val="center" w:pos="4153"/>
          <w:tab w:val="right" w:pos="8306"/>
        </w:tabs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431C03A3" wp14:editId="431C03A4">
            <wp:extent cx="596265" cy="6286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C0367" w14:textId="77777777" w:rsidR="00BA2972" w:rsidRDefault="00620160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14:paraId="431C0368" w14:textId="77777777" w:rsidR="00BA2972" w:rsidRDefault="00BA2972">
      <w:pPr>
        <w:jc w:val="center"/>
        <w:rPr>
          <w:b/>
          <w:lang w:eastAsia="lt-LT"/>
        </w:rPr>
      </w:pPr>
    </w:p>
    <w:p w14:paraId="431C0369" w14:textId="77777777" w:rsidR="00BA2972" w:rsidRDefault="00620160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431C036A" w14:textId="77777777" w:rsidR="00BA2972" w:rsidRDefault="00620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  <w:szCs w:val="24"/>
          <w:lang w:bidi="lo-LA"/>
        </w:rPr>
      </w:pPr>
      <w:r>
        <w:rPr>
          <w:rFonts w:cs="Courier New"/>
          <w:b/>
          <w:bCs/>
          <w:szCs w:val="24"/>
          <w:lang w:bidi="lo-LA"/>
        </w:rPr>
        <w:t xml:space="preserve">DĖL FINANSŲ MINISTRO 2009 M. </w:t>
      </w:r>
      <w:r>
        <w:rPr>
          <w:b/>
          <w:color w:val="000000"/>
          <w:szCs w:val="24"/>
          <w:lang w:eastAsia="lt-LT"/>
        </w:rPr>
        <w:t xml:space="preserve">GEGUŽĖS 29 D. ĮSAKYMO NR. 1K-173 </w:t>
      </w:r>
      <w:r>
        <w:rPr>
          <w:b/>
          <w:szCs w:val="24"/>
          <w:lang w:eastAsia="lt-LT"/>
        </w:rPr>
        <w:t>„DĖL METODINIŲ PAŽEIDIMŲ TYRI</w:t>
      </w:r>
      <w:bookmarkStart w:id="0" w:name="_GoBack"/>
      <w:bookmarkEnd w:id="0"/>
      <w:r>
        <w:rPr>
          <w:b/>
          <w:szCs w:val="24"/>
          <w:lang w:eastAsia="lt-LT"/>
        </w:rPr>
        <w:t>MO IR NUSTATYMO REKOMENDACIJŲ PATVIRTINIMO</w:t>
      </w:r>
      <w:r>
        <w:rPr>
          <w:rFonts w:cs="Courier New"/>
          <w:b/>
          <w:bCs/>
          <w:szCs w:val="24"/>
          <w:lang w:bidi="lo-LA"/>
        </w:rPr>
        <w:t>“ PAKEITIMO</w:t>
      </w:r>
    </w:p>
    <w:p w14:paraId="431C036B" w14:textId="77777777" w:rsidR="00BA2972" w:rsidRDefault="00BA2972">
      <w:pPr>
        <w:jc w:val="center"/>
        <w:rPr>
          <w:lang w:eastAsia="lt-LT"/>
        </w:rPr>
      </w:pPr>
    </w:p>
    <w:p w14:paraId="431C036C" w14:textId="77777777" w:rsidR="00BA2972" w:rsidRDefault="00620160">
      <w:pPr>
        <w:jc w:val="center"/>
        <w:rPr>
          <w:lang w:eastAsia="lt-LT"/>
        </w:rPr>
      </w:pPr>
      <w:r>
        <w:rPr>
          <w:lang w:eastAsia="lt-LT"/>
        </w:rPr>
        <w:t>2016 m. birželio 15 d. Nr. 1K-251</w:t>
      </w:r>
    </w:p>
    <w:p w14:paraId="431C036D" w14:textId="77777777" w:rsidR="00BA2972" w:rsidRDefault="00620160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431C036E" w14:textId="77777777" w:rsidR="00BA2972" w:rsidRDefault="00BA2972">
      <w:pPr>
        <w:jc w:val="center"/>
        <w:rPr>
          <w:lang w:eastAsia="lt-LT"/>
        </w:rPr>
      </w:pPr>
    </w:p>
    <w:p w14:paraId="586256A0" w14:textId="77777777" w:rsidR="00620160" w:rsidRDefault="00620160">
      <w:pPr>
        <w:jc w:val="center"/>
        <w:rPr>
          <w:lang w:eastAsia="lt-LT"/>
        </w:rPr>
      </w:pPr>
    </w:p>
    <w:p w14:paraId="431C036F" w14:textId="77777777" w:rsidR="00BA2972" w:rsidRDefault="00620160">
      <w:pPr>
        <w:tabs>
          <w:tab w:val="left" w:pos="709"/>
        </w:tabs>
        <w:suppressAutoHyphens/>
        <w:ind w:firstLine="709"/>
        <w:jc w:val="both"/>
        <w:textAlignment w:val="center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 a k e i č i u </w:t>
      </w:r>
      <w:r>
        <w:rPr>
          <w:szCs w:val="24"/>
          <w:lang w:eastAsia="lt-LT"/>
        </w:rPr>
        <w:t xml:space="preserve">Metodinių pažeidimų tyrimo ir nustatymo rekomendacijų, patvirtintų </w:t>
      </w:r>
      <w:r>
        <w:rPr>
          <w:color w:val="000000"/>
          <w:szCs w:val="24"/>
          <w:lang w:eastAsia="lt-LT"/>
        </w:rPr>
        <w:t>Lietuvos Respublikos finansų ministro 2009 m. gegužės 29 d. įsakymu Nr. 1K-173</w:t>
      </w:r>
      <w:r>
        <w:rPr>
          <w:szCs w:val="24"/>
          <w:lang w:eastAsia="lt-LT"/>
        </w:rPr>
        <w:t xml:space="preserve"> „Dėl Metodinių pažeidimų tyrimo ir nustatymo rekomendacijų patvirtinimo“, 26</w:t>
      </w:r>
      <w:r>
        <w:rPr>
          <w:szCs w:val="24"/>
          <w:vertAlign w:val="superscript"/>
          <w:lang w:eastAsia="lt-LT"/>
        </w:rPr>
        <w:t>4</w:t>
      </w:r>
      <w:r>
        <w:rPr>
          <w:szCs w:val="24"/>
          <w:lang w:eastAsia="lt-LT"/>
        </w:rPr>
        <w:t xml:space="preserve"> punktą ir jį išdėstau taip:</w:t>
      </w:r>
    </w:p>
    <w:p w14:paraId="431C0370" w14:textId="77777777" w:rsidR="00BA2972" w:rsidRDefault="00620160">
      <w:pPr>
        <w:tabs>
          <w:tab w:val="left" w:pos="709"/>
        </w:tabs>
        <w:suppressAutoHyphens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26</w:t>
      </w:r>
      <w:r>
        <w:rPr>
          <w:vertAlign w:val="superscript"/>
          <w:lang w:eastAsia="lt-LT"/>
        </w:rPr>
        <w:t>4</w:t>
      </w:r>
      <w:r>
        <w:rPr>
          <w:lang w:eastAsia="lt-LT"/>
        </w:rPr>
        <w:t>. Jei nustatomas pažeidimas dėl to, kad projekto vykdytojas iki projekto finansavimo ir administravimo sutarties pasirašymo dienos, projekto įgyvendinimo metu ar nepraėjus 5 metams (arba trumpesniam laikotarpiui, nustatytam projekto finansavimo ir administravimo sutartyje) po projekto finansavimo pabaigos, nustojo vykdyti projektą (ar jo veiklą (-</w:t>
      </w:r>
      <w:proofErr w:type="spellStart"/>
      <w:r>
        <w:rPr>
          <w:lang w:eastAsia="lt-LT"/>
        </w:rPr>
        <w:t>as</w:t>
      </w:r>
      <w:proofErr w:type="spellEnd"/>
      <w:r>
        <w:rPr>
          <w:lang w:eastAsia="lt-LT"/>
        </w:rPr>
        <w:t>)) arba perleido, perdavė, įkeitė ar kitokiu būdu suvaržė daiktines teises į turtą, kuriam įsigyti ar sukurti buvo skirtos Europos Sąjungos fondų ir bendrojo finansavimo lėšos, ir pažeidė reglamento (EB) Nr. 1083/2006 57 straipsnio reikalavimus (išskyrus atvejus, kai daiktinės teisės į turtą buvo suvaržytos dėl nuo projekto vykdytojo nepriklausančių aplinkybių), netinkamos finansuoti projekto išlaidos apskaičiuojamos vadovaujantis šiais principais:</w:t>
      </w:r>
    </w:p>
    <w:p w14:paraId="431C0371" w14:textId="6FFA8AF5" w:rsidR="00BA2972" w:rsidRDefault="00E02DB2">
      <w:pPr>
        <w:tabs>
          <w:tab w:val="left" w:pos="709"/>
        </w:tabs>
        <w:suppressAutoHyphens/>
        <w:ind w:firstLine="709"/>
        <w:jc w:val="both"/>
        <w:textAlignment w:val="center"/>
        <w:rPr>
          <w:lang w:eastAsia="lt-LT"/>
        </w:rPr>
      </w:pPr>
      <w:r w:rsidR="00620160">
        <w:rPr>
          <w:lang w:eastAsia="lt-LT"/>
        </w:rPr>
        <w:t>26</w:t>
      </w:r>
      <w:r w:rsidR="00620160">
        <w:rPr>
          <w:vertAlign w:val="superscript"/>
          <w:lang w:eastAsia="lt-LT"/>
        </w:rPr>
        <w:t>4</w:t>
      </w:r>
      <w:r w:rsidR="00620160">
        <w:rPr>
          <w:lang w:eastAsia="lt-LT"/>
        </w:rPr>
        <w:t>.1</w:t>
      </w:r>
      <w:r>
        <w:rPr>
          <w:lang w:eastAsia="lt-LT"/>
        </w:rPr>
        <w:t>.</w:t>
      </w:r>
      <w:r w:rsidR="00620160">
        <w:rPr>
          <w:lang w:eastAsia="lt-LT"/>
        </w:rPr>
        <w:t xml:space="preserve"> kai turtas, kuriam įsigyti ar sukurti buvo skirtos Europos Sąjungos fondų ir bendrojo finansavimo lėšos, buvo perleistas, perduotas, įkeistas ar kitokiu būdu suvaržytos daiktinės teisės į jį iki pasirašant projekto finansavimo ir administravimo sutartį, netinkamos finansuoti projekto išlaidos apskaičiuojamos taikant 100 proc. netinkamų finansuoti išlaidų apskaičiavimo normą nuo suvaržytam turtui įsigyti panaudotos tinkamų finansuoti projekto išlaidų sumos;</w:t>
      </w:r>
    </w:p>
    <w:p w14:paraId="431C0372" w14:textId="77777777" w:rsidR="00BA2972" w:rsidRDefault="00E02DB2">
      <w:pPr>
        <w:rPr>
          <w:sz w:val="10"/>
          <w:szCs w:val="10"/>
        </w:rPr>
      </w:pPr>
    </w:p>
    <w:p w14:paraId="431C0373" w14:textId="77777777" w:rsidR="00BA2972" w:rsidRDefault="00E02DB2">
      <w:pPr>
        <w:tabs>
          <w:tab w:val="left" w:pos="709"/>
        </w:tabs>
        <w:suppressAutoHyphens/>
        <w:ind w:firstLine="709"/>
        <w:jc w:val="both"/>
        <w:textAlignment w:val="center"/>
        <w:rPr>
          <w:color w:val="000000"/>
          <w:szCs w:val="24"/>
          <w:lang w:eastAsia="lt-LT"/>
        </w:rPr>
      </w:pPr>
      <w:r w:rsidR="00620160">
        <w:rPr>
          <w:color w:val="000000"/>
          <w:szCs w:val="24"/>
          <w:lang w:eastAsia="lt-LT"/>
        </w:rPr>
        <w:t>26</w:t>
      </w:r>
      <w:r w:rsidR="00620160">
        <w:rPr>
          <w:color w:val="000000"/>
          <w:szCs w:val="24"/>
          <w:vertAlign w:val="superscript"/>
          <w:lang w:eastAsia="lt-LT"/>
        </w:rPr>
        <w:t>4</w:t>
      </w:r>
      <w:r w:rsidR="00620160">
        <w:rPr>
          <w:color w:val="000000"/>
          <w:szCs w:val="24"/>
          <w:lang w:eastAsia="lt-LT"/>
        </w:rPr>
        <w:t>.2</w:t>
      </w:r>
      <w:r w:rsidR="00620160">
        <w:rPr>
          <w:color w:val="000000"/>
          <w:szCs w:val="24"/>
          <w:lang w:eastAsia="lt-LT"/>
        </w:rPr>
        <w:t>.</w:t>
      </w:r>
      <w:r w:rsidR="00620160">
        <w:rPr>
          <w:lang w:eastAsia="lt-LT"/>
        </w:rPr>
        <w:t xml:space="preserve"> kai projektas ar jo veikla (-</w:t>
      </w:r>
      <w:proofErr w:type="spellStart"/>
      <w:r w:rsidR="00620160">
        <w:rPr>
          <w:lang w:eastAsia="lt-LT"/>
        </w:rPr>
        <w:t>os</w:t>
      </w:r>
      <w:proofErr w:type="spellEnd"/>
      <w:r w:rsidR="00620160">
        <w:rPr>
          <w:lang w:eastAsia="lt-LT"/>
        </w:rPr>
        <w:t>) nustota (-</w:t>
      </w:r>
      <w:proofErr w:type="spellStart"/>
      <w:r w:rsidR="00620160">
        <w:rPr>
          <w:lang w:eastAsia="lt-LT"/>
        </w:rPr>
        <w:t>os</w:t>
      </w:r>
      <w:proofErr w:type="spellEnd"/>
      <w:r w:rsidR="00620160">
        <w:rPr>
          <w:lang w:eastAsia="lt-LT"/>
        </w:rPr>
        <w:t xml:space="preserve">) vykdyti ar turtas, kuriam įsigyti ar sukurti buvo skirtos Europos Sąjungos fondų ir bendrojo finansavimo lėšos, buvo perleistas, perduotas, įkeistas ar kitokiu būdu suvaržytos daiktinės teisės į jį projekto įgyvendinimo metu, netinkamos finansuoti projekto išlaidos, </w:t>
      </w:r>
      <w:r w:rsidR="00620160">
        <w:rPr>
          <w:bCs/>
          <w:szCs w:val="24"/>
          <w:lang w:eastAsia="lt-LT"/>
        </w:rPr>
        <w:t xml:space="preserve">atsižvelgiant į pažeidimo pobūdį, </w:t>
      </w:r>
      <w:r w:rsidR="00620160">
        <w:rPr>
          <w:lang w:eastAsia="lt-LT"/>
        </w:rPr>
        <w:t>apskaičiuojamos taikant 100 proc. netinkamų finansuoti projekto išlaidų apskaičiavimo normą nuo projektui įgyvendinti, veiklai (-</w:t>
      </w:r>
      <w:proofErr w:type="spellStart"/>
      <w:r w:rsidR="00620160">
        <w:rPr>
          <w:lang w:eastAsia="lt-LT"/>
        </w:rPr>
        <w:t>oms</w:t>
      </w:r>
      <w:proofErr w:type="spellEnd"/>
      <w:r w:rsidR="00620160">
        <w:rPr>
          <w:lang w:eastAsia="lt-LT"/>
        </w:rPr>
        <w:t xml:space="preserve">) vykdyti panaudotos tinkamų finansuoti projekto išlaidų sumos ar minėtam turtui įsigyti panaudotos tinkamų finansuoti projekto išlaidų sumos, </w:t>
      </w:r>
      <w:r w:rsidR="00620160">
        <w:rPr>
          <w:bCs/>
          <w:szCs w:val="24"/>
          <w:lang w:eastAsia="lt-LT"/>
        </w:rPr>
        <w:t>įvertinus turto nusidėvėjimą, buvusį turto suvaržymo metu</w:t>
      </w:r>
      <w:r w:rsidR="00620160">
        <w:rPr>
          <w:lang w:eastAsia="lt-LT"/>
        </w:rPr>
        <w:t>;</w:t>
      </w:r>
    </w:p>
    <w:p w14:paraId="431C0374" w14:textId="77777777" w:rsidR="00BA2972" w:rsidRDefault="00E02DB2">
      <w:pPr>
        <w:rPr>
          <w:sz w:val="10"/>
          <w:szCs w:val="10"/>
        </w:rPr>
      </w:pPr>
    </w:p>
    <w:p w14:paraId="431C0375" w14:textId="77777777" w:rsidR="00BA2972" w:rsidRDefault="00620160">
      <w:pPr>
        <w:ind w:firstLine="709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26</w:t>
      </w:r>
      <w:r>
        <w:rPr>
          <w:color w:val="000000"/>
          <w:szCs w:val="24"/>
          <w:vertAlign w:val="superscript"/>
          <w:lang w:eastAsia="lt-LT"/>
        </w:rPr>
        <w:t>4</w:t>
      </w:r>
      <w:r>
        <w:rPr>
          <w:color w:val="000000"/>
          <w:szCs w:val="24"/>
          <w:lang w:eastAsia="lt-LT"/>
        </w:rPr>
        <w:t>.3</w:t>
      </w:r>
      <w:r>
        <w:rPr>
          <w:color w:val="000000"/>
          <w:szCs w:val="24"/>
          <w:lang w:eastAsia="lt-LT"/>
        </w:rPr>
        <w:t xml:space="preserve">. kai </w:t>
      </w:r>
      <w:r>
        <w:rPr>
          <w:lang w:eastAsia="lt-LT"/>
        </w:rPr>
        <w:t>projekto veikla (-</w:t>
      </w:r>
      <w:proofErr w:type="spellStart"/>
      <w:r>
        <w:rPr>
          <w:lang w:eastAsia="lt-LT"/>
        </w:rPr>
        <w:t>os</w:t>
      </w:r>
      <w:proofErr w:type="spellEnd"/>
      <w:r>
        <w:rPr>
          <w:lang w:eastAsia="lt-LT"/>
        </w:rPr>
        <w:t>) nustota (-</w:t>
      </w:r>
      <w:proofErr w:type="spellStart"/>
      <w:r>
        <w:rPr>
          <w:lang w:eastAsia="lt-LT"/>
        </w:rPr>
        <w:t>os</w:t>
      </w:r>
      <w:proofErr w:type="spellEnd"/>
      <w:r>
        <w:rPr>
          <w:lang w:eastAsia="lt-LT"/>
        </w:rPr>
        <w:t xml:space="preserve">) vykdyti ar </w:t>
      </w:r>
      <w:r>
        <w:rPr>
          <w:bCs/>
          <w:szCs w:val="24"/>
          <w:lang w:eastAsia="lt-LT"/>
        </w:rPr>
        <w:t>turtas</w:t>
      </w:r>
      <w:r>
        <w:rPr>
          <w:lang w:eastAsia="lt-LT"/>
        </w:rPr>
        <w:t>, kuriam įsigyti ar sukurti buvo skirtos Europos Sąjungos fondų ir bendrojo finansavimo lėšos, buvo perleistas, perduotas, įkeistas ar kitokiu būdu suvaržytos daiktinės teisės į jį</w:t>
      </w:r>
      <w:r>
        <w:rPr>
          <w:bCs/>
          <w:color w:val="FF0000"/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 xml:space="preserve">projekto finansavimo ir administravimo sutartyje nustatytu </w:t>
      </w:r>
      <w:r>
        <w:rPr>
          <w:szCs w:val="24"/>
          <w:lang w:eastAsia="lt-LT"/>
        </w:rPr>
        <w:t>investicijų tęstinumo</w:t>
      </w:r>
      <w:r>
        <w:rPr>
          <w:color w:val="000000"/>
          <w:szCs w:val="24"/>
          <w:lang w:eastAsia="lt-LT"/>
        </w:rPr>
        <w:t xml:space="preserve"> laikotarpi</w:t>
      </w:r>
      <w:r>
        <w:rPr>
          <w:bCs/>
          <w:szCs w:val="24"/>
          <w:lang w:eastAsia="lt-LT"/>
        </w:rPr>
        <w:t>u, netinkamos finansuoti projekto išlaidos apskaičiuojamos įvertinus investicijų tęstinumo laikotarpį (išreikštą kalendorinėmis dienomis) ir kalendorines dienas, likusias iki šio laikotarpio pabaigos, ir, atsižvelgiant į pažeidimo pobūdį, apskaičiuojamos nuo projekto veiklai (-</w:t>
      </w:r>
      <w:proofErr w:type="spellStart"/>
      <w:r>
        <w:rPr>
          <w:bCs/>
          <w:szCs w:val="24"/>
          <w:lang w:eastAsia="lt-LT"/>
        </w:rPr>
        <w:t>oms</w:t>
      </w:r>
      <w:proofErr w:type="spellEnd"/>
      <w:r>
        <w:rPr>
          <w:bCs/>
          <w:szCs w:val="24"/>
          <w:lang w:eastAsia="lt-LT"/>
        </w:rPr>
        <w:t>) vykdyti panaudotos tinkamų finansuoti projekto išlaidų sumos ar projekto turtui įsigyti panaudotos tinkamų finansuoti projekto išlaidų sumos, įvertinus  turto nusidėvėjimą, buvusį turto suvaržymo metu, pagal formulę:</w:t>
      </w:r>
    </w:p>
    <w:p w14:paraId="431C0376" w14:textId="77777777" w:rsidR="00BA2972" w:rsidRDefault="00BA2972">
      <w:pPr>
        <w:tabs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Cs w:val="24"/>
          <w:lang w:eastAsia="lt-LT"/>
        </w:rPr>
      </w:pPr>
    </w:p>
    <w:p w14:paraId="431C0377" w14:textId="77777777" w:rsidR="00BA2972" w:rsidRDefault="00620160">
      <w:pPr>
        <w:tabs>
          <w:tab w:val="left" w:pos="851"/>
          <w:tab w:val="left" w:pos="1134"/>
          <w:tab w:val="left" w:pos="1276"/>
        </w:tabs>
        <w:ind w:firstLine="709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NFL = likęs ITL  x PVTTFIS / visas ITL, kur</w:t>
      </w:r>
    </w:p>
    <w:p w14:paraId="431C0378" w14:textId="77777777" w:rsidR="00BA2972" w:rsidRDefault="00BA2972">
      <w:pPr>
        <w:tabs>
          <w:tab w:val="left" w:pos="851"/>
          <w:tab w:val="left" w:pos="1134"/>
          <w:tab w:val="left" w:pos="1276"/>
        </w:tabs>
        <w:ind w:firstLine="709"/>
        <w:jc w:val="both"/>
        <w:rPr>
          <w:bCs/>
          <w:szCs w:val="24"/>
          <w:lang w:eastAsia="lt-LT"/>
        </w:rPr>
      </w:pPr>
    </w:p>
    <w:p w14:paraId="431C0379" w14:textId="77777777" w:rsidR="00BA2972" w:rsidRDefault="00620160">
      <w:pPr>
        <w:tabs>
          <w:tab w:val="left" w:pos="851"/>
          <w:tab w:val="left" w:pos="1134"/>
          <w:tab w:val="left" w:pos="1276"/>
        </w:tabs>
        <w:ind w:firstLine="709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lastRenderedPageBreak/>
        <w:t xml:space="preserve">NFL – netinkamos finansuoti projekto išlaidos, </w:t>
      </w:r>
      <w:proofErr w:type="spellStart"/>
      <w:r>
        <w:rPr>
          <w:bCs/>
          <w:sz w:val="20"/>
          <w:lang w:eastAsia="lt-LT"/>
        </w:rPr>
        <w:t>Eur</w:t>
      </w:r>
      <w:proofErr w:type="spellEnd"/>
      <w:r>
        <w:rPr>
          <w:bCs/>
          <w:sz w:val="20"/>
          <w:lang w:eastAsia="lt-LT"/>
        </w:rPr>
        <w:t>;</w:t>
      </w:r>
    </w:p>
    <w:p w14:paraId="431C037A" w14:textId="77777777" w:rsidR="00BA2972" w:rsidRDefault="00620160">
      <w:pPr>
        <w:tabs>
          <w:tab w:val="left" w:pos="851"/>
          <w:tab w:val="left" w:pos="1134"/>
          <w:tab w:val="left" w:pos="1276"/>
        </w:tabs>
        <w:ind w:firstLine="709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ITL – investicijų tęstinumo laikotarpis, kalendorinės dienos;</w:t>
      </w:r>
    </w:p>
    <w:p w14:paraId="431C037B" w14:textId="77777777" w:rsidR="00BA2972" w:rsidRDefault="00620160">
      <w:pPr>
        <w:ind w:firstLine="709"/>
        <w:jc w:val="both"/>
        <w:rPr>
          <w:bCs/>
          <w:szCs w:val="24"/>
          <w:lang w:eastAsia="lt-LT"/>
        </w:rPr>
      </w:pPr>
      <w:r>
        <w:rPr>
          <w:bCs/>
          <w:sz w:val="20"/>
          <w:lang w:eastAsia="lt-LT"/>
        </w:rPr>
        <w:t>PVTTFIS – projekto veiklai (-</w:t>
      </w:r>
      <w:proofErr w:type="spellStart"/>
      <w:r>
        <w:rPr>
          <w:bCs/>
          <w:sz w:val="20"/>
          <w:lang w:eastAsia="lt-LT"/>
        </w:rPr>
        <w:t>oms</w:t>
      </w:r>
      <w:proofErr w:type="spellEnd"/>
      <w:r>
        <w:rPr>
          <w:bCs/>
          <w:sz w:val="20"/>
          <w:lang w:eastAsia="lt-LT"/>
        </w:rPr>
        <w:t xml:space="preserve">) vykdyti panaudota tinkamų finansuoti projekto išlaidų suma ar projekto turtui įsigyti panaudota tinkamų finansuoti projekto išlaidų suma, įvertinus turto nusidėvėjimą, buvusį turto suvaržymo metu, </w:t>
      </w:r>
      <w:proofErr w:type="spellStart"/>
      <w:r>
        <w:rPr>
          <w:bCs/>
          <w:sz w:val="20"/>
          <w:lang w:eastAsia="lt-LT"/>
        </w:rPr>
        <w:t>Eur</w:t>
      </w:r>
      <w:proofErr w:type="spellEnd"/>
      <w:r>
        <w:rPr>
          <w:bCs/>
          <w:sz w:val="20"/>
          <w:lang w:eastAsia="lt-LT"/>
        </w:rPr>
        <w:t>;</w:t>
      </w:r>
    </w:p>
    <w:p w14:paraId="431C037C" w14:textId="77777777" w:rsidR="00BA2972" w:rsidRDefault="00E02DB2">
      <w:pPr>
        <w:rPr>
          <w:sz w:val="10"/>
          <w:szCs w:val="10"/>
        </w:rPr>
      </w:pPr>
    </w:p>
    <w:p w14:paraId="431C037D" w14:textId="77777777" w:rsidR="00BA2972" w:rsidRDefault="00E02DB2">
      <w:pPr>
        <w:ind w:firstLine="709"/>
        <w:jc w:val="both"/>
        <w:rPr>
          <w:szCs w:val="24"/>
          <w:lang w:eastAsia="lt-LT"/>
        </w:rPr>
      </w:pPr>
      <w:r w:rsidR="00620160">
        <w:rPr>
          <w:szCs w:val="24"/>
          <w:lang w:eastAsia="lt-LT"/>
        </w:rPr>
        <w:t>26</w:t>
      </w:r>
      <w:r w:rsidR="00620160">
        <w:rPr>
          <w:szCs w:val="24"/>
          <w:vertAlign w:val="superscript"/>
          <w:lang w:eastAsia="lt-LT"/>
        </w:rPr>
        <w:t>4</w:t>
      </w:r>
      <w:r w:rsidR="00620160">
        <w:rPr>
          <w:szCs w:val="24"/>
          <w:lang w:eastAsia="lt-LT"/>
        </w:rPr>
        <w:t>.4</w:t>
      </w:r>
      <w:r w:rsidR="00620160">
        <w:rPr>
          <w:szCs w:val="24"/>
          <w:lang w:eastAsia="lt-LT"/>
        </w:rPr>
        <w:t xml:space="preserve">. kai projekto finansavimo ir administravimo sutartyje nustatytu investicijų tęstinumo laikotarpiu turto, </w:t>
      </w:r>
      <w:r w:rsidR="00620160">
        <w:rPr>
          <w:lang w:eastAsia="lt-LT"/>
        </w:rPr>
        <w:t>kuriam įsigyti ar sukurti buvo skirtos Europos Sąjungos fondų ir bendrojo finansavimo lėšos ir kuris buvo perleistas, perduotas, įkeistas ar kitokiu būdu suvaržytos daiktinės teisės į jį</w:t>
      </w:r>
      <w:r w:rsidR="00620160">
        <w:rPr>
          <w:szCs w:val="24"/>
          <w:lang w:eastAsia="lt-LT"/>
        </w:rPr>
        <w:t>, nusidėvėjimo trukmė yra trumpesnė už investicijų tęstinumo laikotarpį, netinkamos finansuoti projekto išlaidos apskaičiuojamos atsižvelgiant į turto nusidėvėjimo laikotarpį pagal formulę:</w:t>
      </w:r>
    </w:p>
    <w:p w14:paraId="431C037E" w14:textId="77777777" w:rsidR="00BA2972" w:rsidRDefault="00BA2972">
      <w:pPr>
        <w:tabs>
          <w:tab w:val="left" w:pos="851"/>
          <w:tab w:val="left" w:pos="1134"/>
          <w:tab w:val="left" w:pos="1276"/>
        </w:tabs>
        <w:ind w:firstLine="709"/>
        <w:jc w:val="both"/>
        <w:rPr>
          <w:bCs/>
          <w:szCs w:val="24"/>
          <w:lang w:eastAsia="lt-LT"/>
        </w:rPr>
      </w:pPr>
    </w:p>
    <w:p w14:paraId="431C037F" w14:textId="77777777" w:rsidR="00BA2972" w:rsidRDefault="00620160">
      <w:pPr>
        <w:tabs>
          <w:tab w:val="left" w:pos="851"/>
          <w:tab w:val="left" w:pos="1134"/>
          <w:tab w:val="left" w:pos="1276"/>
        </w:tabs>
        <w:ind w:firstLine="709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NFL = likęs TNL  x PVTTFIS / visas TNL, kur</w:t>
      </w:r>
    </w:p>
    <w:p w14:paraId="431C0380" w14:textId="77777777" w:rsidR="00BA2972" w:rsidRDefault="00BA2972">
      <w:pPr>
        <w:tabs>
          <w:tab w:val="left" w:pos="851"/>
          <w:tab w:val="left" w:pos="1134"/>
          <w:tab w:val="left" w:pos="1276"/>
        </w:tabs>
        <w:ind w:firstLine="709"/>
        <w:jc w:val="both"/>
        <w:rPr>
          <w:bCs/>
          <w:szCs w:val="24"/>
          <w:lang w:eastAsia="lt-LT"/>
        </w:rPr>
      </w:pPr>
    </w:p>
    <w:p w14:paraId="431C0381" w14:textId="77777777" w:rsidR="00BA2972" w:rsidRDefault="00620160">
      <w:pPr>
        <w:tabs>
          <w:tab w:val="left" w:pos="851"/>
          <w:tab w:val="left" w:pos="1134"/>
          <w:tab w:val="left" w:pos="1276"/>
        </w:tabs>
        <w:ind w:firstLine="709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NFL – netinkamos finansuoti projekto išlaidos, </w:t>
      </w:r>
      <w:proofErr w:type="spellStart"/>
      <w:r>
        <w:rPr>
          <w:bCs/>
          <w:sz w:val="20"/>
          <w:lang w:eastAsia="lt-LT"/>
        </w:rPr>
        <w:t>Eur</w:t>
      </w:r>
      <w:proofErr w:type="spellEnd"/>
      <w:r>
        <w:rPr>
          <w:bCs/>
          <w:sz w:val="20"/>
          <w:lang w:eastAsia="lt-LT"/>
        </w:rPr>
        <w:t>;</w:t>
      </w:r>
    </w:p>
    <w:p w14:paraId="431C0382" w14:textId="77777777" w:rsidR="00BA2972" w:rsidRDefault="00620160">
      <w:pPr>
        <w:tabs>
          <w:tab w:val="left" w:pos="851"/>
          <w:tab w:val="left" w:pos="1134"/>
          <w:tab w:val="left" w:pos="1276"/>
        </w:tabs>
        <w:ind w:firstLine="709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TNL – turto nusidėvėjimo laikotarpis, kalendorinės dienos;</w:t>
      </w:r>
    </w:p>
    <w:p w14:paraId="431C0383" w14:textId="77777777" w:rsidR="00BA2972" w:rsidRDefault="00620160">
      <w:pPr>
        <w:tabs>
          <w:tab w:val="left" w:pos="1276"/>
        </w:tabs>
        <w:ind w:firstLine="709"/>
        <w:jc w:val="both"/>
        <w:rPr>
          <w:bCs/>
          <w:sz w:val="22"/>
          <w:szCs w:val="22"/>
          <w:lang w:eastAsia="lt-LT"/>
        </w:rPr>
      </w:pPr>
      <w:r>
        <w:rPr>
          <w:bCs/>
          <w:sz w:val="20"/>
          <w:lang w:eastAsia="lt-LT"/>
        </w:rPr>
        <w:t xml:space="preserve">PVTTFIS – projekto turtui įsigyti panaudota tinkamų finansuoti projekto išlaidų suma, įvertinus turto nusidėvėjimą, buvusį turto suvaržymo metu, </w:t>
      </w:r>
      <w:proofErr w:type="spellStart"/>
      <w:r>
        <w:rPr>
          <w:bCs/>
          <w:sz w:val="20"/>
          <w:lang w:eastAsia="lt-LT"/>
        </w:rPr>
        <w:t>Eur</w:t>
      </w:r>
      <w:proofErr w:type="spellEnd"/>
      <w:r>
        <w:rPr>
          <w:bCs/>
          <w:sz w:val="20"/>
          <w:lang w:eastAsia="lt-LT"/>
        </w:rPr>
        <w:t>;</w:t>
      </w:r>
    </w:p>
    <w:p w14:paraId="431C0384" w14:textId="77777777" w:rsidR="00BA2972" w:rsidRDefault="00E02DB2">
      <w:pPr>
        <w:rPr>
          <w:sz w:val="10"/>
          <w:szCs w:val="10"/>
        </w:rPr>
      </w:pPr>
    </w:p>
    <w:p w14:paraId="431C0388" w14:textId="12C3FE97" w:rsidR="00BA2972" w:rsidRDefault="00E02DB2" w:rsidP="00E02DB2">
      <w:pPr>
        <w:suppressAutoHyphens/>
        <w:ind w:firstLine="709"/>
        <w:jc w:val="both"/>
        <w:textAlignment w:val="center"/>
        <w:rPr>
          <w:lang w:eastAsia="lt-LT"/>
        </w:rPr>
      </w:pPr>
      <w:r w:rsidR="00620160">
        <w:rPr>
          <w:szCs w:val="24"/>
          <w:lang w:eastAsia="lt-LT"/>
        </w:rPr>
        <w:t>26</w:t>
      </w:r>
      <w:r w:rsidR="00620160">
        <w:rPr>
          <w:szCs w:val="24"/>
          <w:vertAlign w:val="superscript"/>
          <w:lang w:eastAsia="lt-LT"/>
        </w:rPr>
        <w:t>4</w:t>
      </w:r>
      <w:r w:rsidR="00620160">
        <w:rPr>
          <w:szCs w:val="24"/>
          <w:lang w:eastAsia="lt-LT"/>
        </w:rPr>
        <w:t>.5</w:t>
      </w:r>
      <w:r w:rsidR="00620160">
        <w:rPr>
          <w:szCs w:val="24"/>
          <w:lang w:eastAsia="lt-LT"/>
        </w:rPr>
        <w:t xml:space="preserve">. </w:t>
      </w:r>
      <w:r w:rsidR="00620160">
        <w:rPr>
          <w:bCs/>
          <w:szCs w:val="24"/>
          <w:lang w:eastAsia="lt-LT"/>
        </w:rPr>
        <w:t xml:space="preserve">tais atvejais, kai nėra įmanoma nustatyti tikslios datos, kada buvo pažeistas investicijų tęstinumo reikalavimas, Rekomendacijų </w:t>
      </w:r>
      <w:r w:rsidR="00620160">
        <w:rPr>
          <w:color w:val="000000"/>
          <w:szCs w:val="24"/>
          <w:lang w:eastAsia="lt-LT"/>
        </w:rPr>
        <w:t>26</w:t>
      </w:r>
      <w:r w:rsidR="00620160">
        <w:rPr>
          <w:color w:val="000000"/>
          <w:szCs w:val="24"/>
          <w:vertAlign w:val="superscript"/>
          <w:lang w:eastAsia="lt-LT"/>
        </w:rPr>
        <w:t>4</w:t>
      </w:r>
      <w:r w:rsidR="00620160">
        <w:rPr>
          <w:color w:val="000000"/>
          <w:szCs w:val="24"/>
          <w:lang w:eastAsia="lt-LT"/>
        </w:rPr>
        <w:t>.3 ir 26</w:t>
      </w:r>
      <w:r w:rsidR="00620160">
        <w:rPr>
          <w:color w:val="000000"/>
          <w:szCs w:val="24"/>
          <w:vertAlign w:val="superscript"/>
          <w:lang w:eastAsia="lt-LT"/>
        </w:rPr>
        <w:t>4</w:t>
      </w:r>
      <w:r w:rsidR="00620160">
        <w:rPr>
          <w:color w:val="000000"/>
          <w:szCs w:val="24"/>
          <w:lang w:eastAsia="lt-LT"/>
        </w:rPr>
        <w:t xml:space="preserve">.4 papunkčių formulėse naudojamas </w:t>
      </w:r>
      <w:r w:rsidR="00620160">
        <w:rPr>
          <w:bCs/>
          <w:szCs w:val="24"/>
          <w:lang w:eastAsia="lt-LT"/>
        </w:rPr>
        <w:t xml:space="preserve">investicijų tęstinumo laikotarpis (ITL) arba turto nusidėvėjimo laikotarpis (TNL) apskaičiuojamas atsižvelgiant ne į kalendorines dienas, o į žinomą kiek įmanoma tikslesnį laikotarpį, kuomet investicijų tęstinumo reikalavimas buvo pažeistas (savaitė, mėnuo, metų ketvirtis ir pan.).“ </w:t>
      </w:r>
    </w:p>
    <w:p w14:paraId="4FA20A52" w14:textId="77777777" w:rsidR="00620160" w:rsidRDefault="00620160"/>
    <w:p w14:paraId="4D92D1F6" w14:textId="77777777" w:rsidR="00620160" w:rsidRDefault="00620160"/>
    <w:p w14:paraId="148D98BF" w14:textId="77777777" w:rsidR="00620160" w:rsidRDefault="00620160"/>
    <w:p w14:paraId="431C03A2" w14:textId="1A546419" w:rsidR="00BA2972" w:rsidRDefault="00620160">
      <w:pPr>
        <w:rPr>
          <w:sz w:val="20"/>
          <w:lang w:eastAsia="lt-LT"/>
        </w:rPr>
      </w:pPr>
      <w:r>
        <w:rPr>
          <w:szCs w:val="24"/>
          <w:lang w:eastAsia="lt-LT"/>
        </w:rPr>
        <w:t>Finansų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Rimantas </w:t>
      </w:r>
      <w:proofErr w:type="spellStart"/>
      <w:r>
        <w:rPr>
          <w:szCs w:val="24"/>
          <w:lang w:eastAsia="lt-LT"/>
        </w:rPr>
        <w:t>Šadžius</w:t>
      </w:r>
      <w:proofErr w:type="spellEnd"/>
      <w:r>
        <w:rPr>
          <w:szCs w:val="24"/>
          <w:lang w:eastAsia="lt-LT"/>
        </w:rPr>
        <w:t xml:space="preserve"> </w:t>
      </w:r>
    </w:p>
    <w:sectPr w:rsidR="00BA2972" w:rsidSect="006201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C03A7" w14:textId="77777777" w:rsidR="00BA2972" w:rsidRDefault="0062016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31C03A8" w14:textId="77777777" w:rsidR="00BA2972" w:rsidRDefault="0062016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03AD" w14:textId="77777777" w:rsidR="00BA2972" w:rsidRDefault="00BA2972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03AE" w14:textId="77777777" w:rsidR="00BA2972" w:rsidRDefault="00BA2972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03B0" w14:textId="77777777" w:rsidR="00BA2972" w:rsidRDefault="00620160">
    <w:pPr>
      <w:ind w:right="227"/>
      <w:jc w:val="right"/>
      <w:rPr>
        <w:sz w:val="10"/>
        <w:lang w:eastAsia="lt-LT"/>
      </w:rPr>
    </w:pPr>
    <w:r>
      <w:rPr>
        <w:sz w:val="10"/>
        <w:lang w:eastAsia="lt-LT"/>
      </w:rPr>
      <w:t>Dokumentas2</w:t>
    </w:r>
  </w:p>
  <w:p w14:paraId="431C03B1" w14:textId="77777777" w:rsidR="00BA2972" w:rsidRDefault="00BA2972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C03A5" w14:textId="77777777" w:rsidR="00BA2972" w:rsidRDefault="0062016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31C03A6" w14:textId="77777777" w:rsidR="00BA2972" w:rsidRDefault="00620160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03A9" w14:textId="77777777" w:rsidR="00BA2972" w:rsidRDefault="0062016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431C03AA" w14:textId="77777777" w:rsidR="00BA2972" w:rsidRDefault="00BA2972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03AB" w14:textId="77777777" w:rsidR="00BA2972" w:rsidRDefault="0062016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E02DB2">
      <w:rPr>
        <w:noProof/>
        <w:lang w:eastAsia="lt-LT"/>
      </w:rPr>
      <w:t>2</w:t>
    </w:r>
    <w:r>
      <w:rPr>
        <w:lang w:eastAsia="lt-LT"/>
      </w:rPr>
      <w:fldChar w:fldCharType="end"/>
    </w:r>
  </w:p>
  <w:p w14:paraId="431C03AC" w14:textId="77777777" w:rsidR="00BA2972" w:rsidRDefault="00BA2972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03AF" w14:textId="77777777" w:rsidR="00BA2972" w:rsidRDefault="00BA2972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92"/>
    <w:rsid w:val="005C4C92"/>
    <w:rsid w:val="00620160"/>
    <w:rsid w:val="00BA2972"/>
    <w:rsid w:val="00E0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C0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5040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2016-06-15T14:08:00Z</dcterms:created>
  <dc:creator>Rokas Jasaitis</dc:creator>
  <lastModifiedBy>ŠAULYTĖ SKAIRIENĖ Dalia</lastModifiedBy>
  <lastPrinted>2008-12-29T10:20:00Z</lastPrinted>
  <dcterms:modified xsi:type="dcterms:W3CDTF">2016-06-16T06:57:00Z</dcterms:modified>
  <revision>4</revision>
</coreProperties>
</file>