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B7C6A" w14:textId="77777777" w:rsidR="00C90210" w:rsidRDefault="00C90210">
      <w:pPr>
        <w:tabs>
          <w:tab w:val="center" w:pos="4153"/>
          <w:tab w:val="right" w:pos="8306"/>
        </w:tabs>
        <w:rPr>
          <w:sz w:val="20"/>
          <w:lang w:eastAsia="lt-LT"/>
        </w:rPr>
      </w:pPr>
    </w:p>
    <w:p w14:paraId="5CBD5875" w14:textId="77777777" w:rsidR="00C90210" w:rsidRDefault="00B31BDC">
      <w:pPr>
        <w:tabs>
          <w:tab w:val="left" w:pos="993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rFonts w:ascii="Symbol" w:hAnsi="Symbol"/>
          <w:sz w:val="20"/>
          <w:lang w:eastAsia="lt-LT"/>
        </w:rPr>
      </w:pPr>
      <w:r>
        <w:rPr>
          <w:noProof/>
          <w:color w:val="000000"/>
          <w:sz w:val="20"/>
          <w:lang w:eastAsia="lt-LT"/>
        </w:rPr>
        <w:drawing>
          <wp:inline distT="0" distB="0" distL="0" distR="0" wp14:anchorId="4D845BD9" wp14:editId="69C47948">
            <wp:extent cx="541020" cy="548640"/>
            <wp:effectExtent l="0" t="0" r="0" b="381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76F05" w14:textId="77777777" w:rsidR="00C90210" w:rsidRDefault="00B31BDC" w:rsidP="00B31BDC">
      <w:pPr>
        <w:tabs>
          <w:tab w:val="left" w:pos="993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rFonts w:ascii="Symbol" w:hAnsi="Symbol"/>
          <w:szCs w:val="24"/>
          <w:lang w:eastAsia="lt-LT"/>
        </w:rPr>
      </w:pPr>
      <w:r>
        <w:rPr>
          <w:rFonts w:ascii="Symbol" w:hAnsi="Symbol"/>
          <w:sz w:val="20"/>
          <w:lang w:eastAsia="lt-LT"/>
        </w:rPr>
        <w:t></w:t>
      </w:r>
      <w:r>
        <w:rPr>
          <w:rFonts w:ascii="Symbol" w:hAnsi="Symbol"/>
          <w:sz w:val="20"/>
          <w:lang w:eastAsia="lt-LT"/>
        </w:rPr>
        <w:t></w:t>
      </w:r>
      <w:r>
        <w:rPr>
          <w:rFonts w:ascii="Symbol" w:hAnsi="Symbol"/>
          <w:sz w:val="20"/>
          <w:lang w:eastAsia="lt-LT"/>
        </w:rPr>
        <w:t></w:t>
      </w:r>
      <w:r>
        <w:rPr>
          <w:rFonts w:ascii="Symbol" w:hAnsi="Symbol"/>
          <w:sz w:val="20"/>
          <w:lang w:eastAsia="lt-LT"/>
        </w:rPr>
        <w:t></w:t>
      </w:r>
      <w:r>
        <w:rPr>
          <w:rFonts w:ascii="Symbol" w:hAnsi="Symbol"/>
          <w:sz w:val="20"/>
          <w:lang w:eastAsia="lt-LT"/>
        </w:rPr>
        <w:t></w:t>
      </w:r>
      <w:r>
        <w:rPr>
          <w:rFonts w:ascii="Symbol" w:hAnsi="Symbol"/>
          <w:sz w:val="20"/>
          <w:lang w:eastAsia="lt-LT"/>
        </w:rPr>
        <w:t></w:t>
      </w:r>
      <w:r>
        <w:rPr>
          <w:rFonts w:ascii="Symbol" w:hAnsi="Symbol"/>
          <w:sz w:val="20"/>
          <w:lang w:eastAsia="lt-LT"/>
        </w:rPr>
        <w:t></w:t>
      </w:r>
      <w:r>
        <w:rPr>
          <w:rFonts w:ascii="Symbol" w:hAnsi="Symbol"/>
          <w:sz w:val="20"/>
          <w:lang w:eastAsia="lt-LT"/>
        </w:rPr>
        <w:t></w:t>
      </w:r>
      <w:r>
        <w:rPr>
          <w:rFonts w:ascii="Symbol" w:hAnsi="Symbol"/>
          <w:sz w:val="20"/>
          <w:lang w:eastAsia="lt-LT"/>
        </w:rPr>
        <w:t></w:t>
      </w:r>
    </w:p>
    <w:p w14:paraId="3D6B0FF2" w14:textId="77777777" w:rsidR="00C90210" w:rsidRDefault="00B31BDC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b/>
          <w:lang w:eastAsia="lt-LT"/>
        </w:rPr>
      </w:pPr>
      <w:r>
        <w:rPr>
          <w:b/>
          <w:lang w:eastAsia="lt-LT"/>
        </w:rPr>
        <w:t>VALSTYBINĖS DUOMENŲ APSAUGOS INSPEKCIJOS</w:t>
      </w:r>
    </w:p>
    <w:p w14:paraId="4F4F9DCA" w14:textId="77777777" w:rsidR="00C90210" w:rsidRDefault="00B31BDC">
      <w:pPr>
        <w:keepNext/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outlineLvl w:val="4"/>
        <w:rPr>
          <w:b/>
          <w:lang w:eastAsia="lt-LT"/>
        </w:rPr>
      </w:pPr>
      <w:r>
        <w:rPr>
          <w:b/>
          <w:lang w:eastAsia="lt-LT"/>
        </w:rPr>
        <w:t>DIREKTORIUS</w:t>
      </w:r>
    </w:p>
    <w:p w14:paraId="3C653748" w14:textId="77777777" w:rsidR="00C90210" w:rsidRDefault="00C90210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position w:val="18"/>
          <w:szCs w:val="24"/>
          <w:lang w:eastAsia="lt-LT"/>
        </w:rPr>
      </w:pPr>
    </w:p>
    <w:p w14:paraId="24C35AA7" w14:textId="77777777" w:rsidR="00C90210" w:rsidRDefault="00B31BDC">
      <w:pPr>
        <w:keepNext/>
        <w:tabs>
          <w:tab w:val="left" w:pos="993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outlineLvl w:val="1"/>
        <w:rPr>
          <w:b/>
          <w:lang w:eastAsia="lt-LT"/>
        </w:rPr>
      </w:pPr>
      <w:bookmarkStart w:id="0" w:name="_GoBack"/>
      <w:bookmarkEnd w:id="0"/>
      <w:r>
        <w:rPr>
          <w:b/>
          <w:lang w:eastAsia="lt-LT"/>
        </w:rPr>
        <w:t>ĮSAKYMAS</w:t>
      </w:r>
    </w:p>
    <w:p w14:paraId="75798577" w14:textId="77777777" w:rsidR="00C90210" w:rsidRDefault="00B31BDC">
      <w:pPr>
        <w:keepNext/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outlineLvl w:val="4"/>
        <w:rPr>
          <w:b/>
          <w:lang w:eastAsia="lt-LT"/>
        </w:rPr>
      </w:pPr>
      <w:r>
        <w:rPr>
          <w:b/>
          <w:lang w:eastAsia="lt-LT"/>
        </w:rPr>
        <w:t>DĖL ĮGALIOJIMŲ SURAŠYTI ADMINISTRACINIŲ NUSIŽENGIMŲ PROTOKOLUS SUTEIKIMO</w:t>
      </w:r>
    </w:p>
    <w:p w14:paraId="52022D66" w14:textId="77777777" w:rsidR="00C90210" w:rsidRDefault="00C90210">
      <w:pPr>
        <w:rPr>
          <w:szCs w:val="24"/>
          <w:lang w:eastAsia="lt-LT"/>
        </w:rPr>
      </w:pPr>
    </w:p>
    <w:p w14:paraId="389495F8" w14:textId="3317C9A6" w:rsidR="00C90210" w:rsidRDefault="00B31BDC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lang w:eastAsia="lt-LT"/>
        </w:rPr>
      </w:pPr>
      <w:r>
        <w:rPr>
          <w:lang w:eastAsia="lt-LT"/>
        </w:rPr>
        <w:t>2020 m. gruodžio 14 d. Nr. 1T-114</w:t>
      </w:r>
      <w:r>
        <w:rPr>
          <w:lang w:eastAsia="lt-LT"/>
        </w:rPr>
        <w:t>(1.12.E)</w:t>
      </w:r>
    </w:p>
    <w:p w14:paraId="374A24DC" w14:textId="77777777" w:rsidR="00C90210" w:rsidRDefault="00B31BDC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lang w:eastAsia="lt-LT"/>
        </w:rPr>
      </w:pPr>
      <w:r>
        <w:rPr>
          <w:lang w:eastAsia="lt-LT"/>
        </w:rPr>
        <w:t>Vilnius</w:t>
      </w:r>
    </w:p>
    <w:p w14:paraId="3274D6A0" w14:textId="77777777" w:rsidR="00C90210" w:rsidRDefault="00C90210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lang w:eastAsia="lt-LT"/>
        </w:rPr>
      </w:pPr>
    </w:p>
    <w:p w14:paraId="475A95A3" w14:textId="77777777" w:rsidR="00C90210" w:rsidRDefault="00C90210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lang w:eastAsia="lt-LT"/>
        </w:rPr>
      </w:pPr>
    </w:p>
    <w:p w14:paraId="792B5C10" w14:textId="77777777" w:rsidR="00C90210" w:rsidRDefault="00B31BDC">
      <w:pPr>
        <w:tabs>
          <w:tab w:val="left" w:pos="993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Vadovaudamasis Lietuvos Respublikos</w:t>
      </w:r>
      <w:r>
        <w:rPr>
          <w:lang w:eastAsia="lt-LT"/>
        </w:rPr>
        <w:t xml:space="preserve"> administracinių nusižengimų kodekso 589 straipsnio 29 punktu:</w:t>
      </w:r>
    </w:p>
    <w:p w14:paraId="0F77C774" w14:textId="4C2EE097" w:rsidR="00C90210" w:rsidRDefault="00B31BDC"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S u t e i k i u įgaliojimus pradėti administracinių nusižengimų teiseną, atlikti administracinių nusižengimų tyrimą ir surašyti administracinių nusižengimų protokolus Valstybinės duomenų</w:t>
      </w:r>
      <w:r>
        <w:rPr>
          <w:lang w:eastAsia="lt-LT"/>
        </w:rPr>
        <w:t xml:space="preserve"> apsaugos inspekcijos Priežiūros skyriaus vedėjui, šio skyriaus patarėjams ir vyriausiesiems specialistams dėl Lietuvos Respublikos administracinių nusižengimų </w:t>
      </w:r>
      <w:r>
        <w:rPr>
          <w:szCs w:val="24"/>
          <w:lang w:eastAsia="lt-LT"/>
        </w:rPr>
        <w:t>kodekse 83 straipsnyje, 224 straipsnio 1 dalyje, 505, 507 straipsniuose numatytų administracinių</w:t>
      </w:r>
      <w:r>
        <w:rPr>
          <w:szCs w:val="24"/>
          <w:lang w:eastAsia="lt-LT"/>
        </w:rPr>
        <w:t xml:space="preserve"> nusižengimų.</w:t>
      </w:r>
    </w:p>
    <w:p w14:paraId="14681CE0" w14:textId="329FB2B5" w:rsidR="00C90210" w:rsidRDefault="00B31BDC" w:rsidP="00B31BDC">
      <w:pPr>
        <w:tabs>
          <w:tab w:val="left" w:pos="993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P r i p a ž į s t u netekusiu galios Valstybinės duomenų apsaugos inspekcijos direktoriaus 2018 m. birželio 15 d. įsakymą Nr. 1T-56(1.12.E) „Dėl įgaliojimų surašyti administracinių nusižengimų protokolus suteikimo“.</w:t>
      </w:r>
    </w:p>
    <w:p w14:paraId="62E846DD" w14:textId="77777777" w:rsidR="00B31BDC" w:rsidRDefault="00B31BDC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</w:pPr>
    </w:p>
    <w:p w14:paraId="2EF48505" w14:textId="77777777" w:rsidR="00B31BDC" w:rsidRDefault="00B31BDC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</w:pPr>
    </w:p>
    <w:p w14:paraId="759FCBA2" w14:textId="77777777" w:rsidR="00B31BDC" w:rsidRDefault="00B31BDC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</w:pPr>
    </w:p>
    <w:p w14:paraId="249D9C5D" w14:textId="034E9804" w:rsidR="00C90210" w:rsidRDefault="00B31BDC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lang w:eastAsia="lt-LT"/>
        </w:rPr>
      </w:pPr>
      <w:r>
        <w:rPr>
          <w:lang w:eastAsia="lt-LT"/>
        </w:rPr>
        <w:t xml:space="preserve">Direktorius    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>Raimondas Andrijauskas</w:t>
      </w:r>
    </w:p>
    <w:sectPr w:rsidR="00C90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284" w:gutter="0"/>
      <w:paperSrc w:first="7" w:other="7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24FBE" w14:textId="77777777" w:rsidR="00C90210" w:rsidRDefault="00B31BDC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7962F398" w14:textId="77777777" w:rsidR="00C90210" w:rsidRDefault="00B31BDC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544FF" w14:textId="77777777" w:rsidR="00C90210" w:rsidRDefault="00C90210">
    <w:pPr>
      <w:tabs>
        <w:tab w:val="center" w:pos="4252"/>
        <w:tab w:val="right" w:pos="8504"/>
      </w:tabs>
      <w:rPr>
        <w:rFonts w:ascii="TimesLT" w:hAnsi="TimesLT"/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FD12" w14:textId="77777777" w:rsidR="00C90210" w:rsidRDefault="00C90210">
    <w:pPr>
      <w:tabs>
        <w:tab w:val="center" w:pos="4252"/>
        <w:tab w:val="right" w:pos="8504"/>
      </w:tabs>
      <w:rPr>
        <w:rFonts w:ascii="TimesLT" w:hAnsi="TimesLT"/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45E64" w14:textId="77777777" w:rsidR="00C90210" w:rsidRDefault="00C90210">
    <w:pPr>
      <w:tabs>
        <w:tab w:val="center" w:pos="4252"/>
        <w:tab w:val="right" w:pos="8504"/>
      </w:tabs>
      <w:rPr>
        <w:rFonts w:ascii="TimesLT" w:hAnsi="TimesLT"/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BD1D" w14:textId="77777777" w:rsidR="00C90210" w:rsidRDefault="00B31BDC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50AA4F63" w14:textId="77777777" w:rsidR="00C90210" w:rsidRDefault="00B31BDC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687A9" w14:textId="77777777" w:rsidR="00C90210" w:rsidRDefault="00C90210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31D1F" w14:textId="77777777" w:rsidR="00C90210" w:rsidRDefault="00C90210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582E" w14:textId="77777777" w:rsidR="00C90210" w:rsidRDefault="00C90210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92"/>
    <w:rsid w:val="00B31BDC"/>
    <w:rsid w:val="00B86092"/>
    <w:rsid w:val="00C9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38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/</Company>
  <LinksUpToDate>false</LinksUpToDate>
  <CharactersWithSpaces>1035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2020-12-14T12:22:00Z</dcterms:created>
  <dc:creator>V. Gaidanyte</dc:creator>
  <lastModifiedBy>PAPINIGIENĖ Augustė</lastModifiedBy>
  <lastPrinted>2010-03-17T11:25:00Z</lastPrinted>
  <dcterms:modified xsi:type="dcterms:W3CDTF">2020-12-14T13:12:00Z</dcterms:modified>
  <revision>3</revision>
</coreProperties>
</file>