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50107" w14:textId="77777777" w:rsidR="004C177B" w:rsidRDefault="00483118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09350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8" o:title=""/>
          </v:shape>
          <o:OLEObject Type="Embed" ProgID="Word.Picture.8" ShapeID="_x0000_i1025" DrawAspect="Content" ObjectID="_1569655694" r:id="rId9"/>
        </w:object>
      </w:r>
    </w:p>
    <w:p w14:paraId="09350109" w14:textId="77777777" w:rsidR="004C177B" w:rsidRDefault="00483118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14:paraId="0935010A" w14:textId="77777777" w:rsidR="004C177B" w:rsidRDefault="004C177B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14:paraId="0935010B" w14:textId="77777777" w:rsidR="004C177B" w:rsidRDefault="00483118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0935010C" w14:textId="77777777" w:rsidR="004C177B" w:rsidRDefault="00483118">
      <w:pPr>
        <w:jc w:val="center"/>
        <w:rPr>
          <w:b/>
          <w:szCs w:val="24"/>
        </w:rPr>
      </w:pPr>
      <w:r>
        <w:rPr>
          <w:b/>
          <w:szCs w:val="24"/>
        </w:rPr>
        <w:t xml:space="preserve">DĖL TARPUSAVYJE KEIČIAMŲ VAISTINIŲ PREPARATŲ APIXABANUM, DABIGATRANUM IR </w:t>
      </w:r>
      <w:r>
        <w:rPr>
          <w:b/>
          <w:szCs w:val="24"/>
          <w:lang w:eastAsia="lt-LT"/>
        </w:rPr>
        <w:t>RIVAROXABANUM</w:t>
      </w:r>
      <w:r>
        <w:rPr>
          <w:b/>
          <w:szCs w:val="24"/>
        </w:rPr>
        <w:t xml:space="preserve"> GRUPĖS BEI EKVIVALENTINIŲ DOZIŲ JŲ BAZINEI KAINAI NUSTATYTI PATVIRTINIMO</w:t>
      </w:r>
    </w:p>
    <w:p w14:paraId="0935010D" w14:textId="77777777" w:rsidR="004C177B" w:rsidRDefault="004C177B">
      <w:pPr>
        <w:jc w:val="center"/>
        <w:rPr>
          <w:szCs w:val="24"/>
        </w:rPr>
      </w:pPr>
    </w:p>
    <w:p w14:paraId="0935010E" w14:textId="77777777" w:rsidR="004C177B" w:rsidRDefault="00483118">
      <w:pPr>
        <w:jc w:val="center"/>
        <w:rPr>
          <w:szCs w:val="24"/>
        </w:rPr>
      </w:pPr>
      <w:r>
        <w:rPr>
          <w:szCs w:val="24"/>
        </w:rPr>
        <w:t>2017 m.  spalio 13 d. Nr. V-1170</w:t>
      </w:r>
    </w:p>
    <w:p w14:paraId="0935010F" w14:textId="77777777" w:rsidR="004C177B" w:rsidRDefault="00483118">
      <w:pPr>
        <w:jc w:val="center"/>
        <w:rPr>
          <w:szCs w:val="24"/>
        </w:rPr>
      </w:pPr>
      <w:r>
        <w:rPr>
          <w:szCs w:val="24"/>
        </w:rPr>
        <w:t>Vilnius</w:t>
      </w:r>
    </w:p>
    <w:p w14:paraId="09350110" w14:textId="77777777" w:rsidR="004C177B" w:rsidRDefault="004C177B">
      <w:pPr>
        <w:ind w:firstLine="720"/>
        <w:rPr>
          <w:szCs w:val="24"/>
        </w:rPr>
      </w:pPr>
    </w:p>
    <w:p w14:paraId="6205BAD0" w14:textId="77777777" w:rsidR="00483118" w:rsidRDefault="00483118">
      <w:pPr>
        <w:ind w:firstLine="720"/>
        <w:rPr>
          <w:szCs w:val="24"/>
        </w:rPr>
      </w:pPr>
    </w:p>
    <w:p w14:paraId="09350111" w14:textId="77777777" w:rsidR="004C177B" w:rsidRDefault="00483118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Vadovaudamasis Ambulatoriniam gydymui skiriamų vaistinių preparatų ir medicinos pagalbos priemonių, kurių įsigijimo išlaidos kompensuojamos</w:t>
      </w:r>
      <w:r>
        <w:rPr>
          <w:szCs w:val="24"/>
        </w:rPr>
        <w:t xml:space="preserve"> iš Privalomojo sveikatos draudimo fondo biudžeto lėšų, bazinių kainų apskaičiavimo tvarkos aprašo, patvirtinto Lietuvos Respublikos Vyriausybės </w:t>
      </w:r>
      <w:smartTag w:uri="schemas-tilde-lv/tildestengine" w:element="metric">
        <w:smartTagPr>
          <w:attr w:name="metric_text" w:val="m"/>
          <w:attr w:name="metric_value" w:val="2005"/>
        </w:smartTagPr>
        <w:smartTag w:uri="urn:schemas-microsoft-com:office:smarttags" w:element="metricconverter">
          <w:smartTagPr>
            <w:attr w:name="ProductID" w:val="2005 m"/>
          </w:smartTagPr>
          <w:r>
            <w:rPr>
              <w:szCs w:val="24"/>
            </w:rPr>
            <w:t>2005 m</w:t>
          </w:r>
        </w:smartTag>
      </w:smartTag>
      <w:r>
        <w:rPr>
          <w:szCs w:val="24"/>
        </w:rPr>
        <w:t>. rugsėjo 13 d. nutarimu Nr. 994 „Dėl Ambulatoriniam gydymui skiriamų vaistinių preparatų ir medicinos pa</w:t>
      </w:r>
      <w:r>
        <w:rPr>
          <w:szCs w:val="24"/>
        </w:rPr>
        <w:t>galbos priemonių, kurių įsigijimo išlaidos kompensuojamos iš Privalomojo sveikatos draudimo fondo biudžeto lėšų, bazinių kainų apskaičiavimo tvarkos aprašo patvirtinimo“, 4 punktu ir atsižvelgdamas į Privalomojo sveikatos draudimo tarybos 2017 m. rugsėjo 1</w:t>
      </w:r>
      <w:r>
        <w:rPr>
          <w:szCs w:val="24"/>
        </w:rPr>
        <w:t xml:space="preserve">5 d. </w:t>
      </w:r>
      <w:r>
        <w:rPr>
          <w:spacing w:val="-4"/>
          <w:szCs w:val="24"/>
        </w:rPr>
        <w:t>nutarimą Nr. DT-5/5 ir Valstybinės ligonių kasos prie Sveikatos apsaugos ministerijos 2017 m.</w:t>
      </w:r>
      <w:r>
        <w:rPr>
          <w:szCs w:val="24"/>
        </w:rPr>
        <w:t xml:space="preserve"> rugsėjo 28 d. vertinimo pažymą: </w:t>
      </w:r>
    </w:p>
    <w:p w14:paraId="09350112" w14:textId="77777777" w:rsidR="004C177B" w:rsidRDefault="00483118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T v i r t i n u tarpusavyje keičiamų vaistinių preparatų </w:t>
      </w:r>
      <w:proofErr w:type="spellStart"/>
      <w:r>
        <w:rPr>
          <w:i/>
          <w:szCs w:val="24"/>
        </w:rPr>
        <w:t>Apixabanum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Dabigatranum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ir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  <w:lang w:eastAsia="lt-LT"/>
        </w:rPr>
        <w:t>Rivaroxabanum</w:t>
      </w:r>
      <w:proofErr w:type="spellEnd"/>
      <w:r>
        <w:rPr>
          <w:szCs w:val="24"/>
        </w:rPr>
        <w:t xml:space="preserve"> grupę ir šias ekvi</w:t>
      </w:r>
      <w:r>
        <w:rPr>
          <w:szCs w:val="24"/>
        </w:rPr>
        <w:t>valentines dozes jų bazinei kainai nustatyti: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970"/>
      </w:tblGrid>
      <w:tr w:rsidR="004C177B" w14:paraId="09350115" w14:textId="77777777">
        <w:trPr>
          <w:trHeight w:val="157"/>
          <w:jc w:val="center"/>
        </w:trPr>
        <w:tc>
          <w:tcPr>
            <w:tcW w:w="4770" w:type="dxa"/>
            <w:tcBorders>
              <w:bottom w:val="single" w:sz="2" w:space="0" w:color="auto"/>
            </w:tcBorders>
          </w:tcPr>
          <w:p w14:paraId="09350113" w14:textId="77777777" w:rsidR="004C177B" w:rsidRDefault="0048311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Vaistinio preparato bendrinis pavadinimas</w:t>
            </w:r>
          </w:p>
        </w:tc>
        <w:tc>
          <w:tcPr>
            <w:tcW w:w="2970" w:type="dxa"/>
            <w:tcBorders>
              <w:bottom w:val="single" w:sz="2" w:space="0" w:color="auto"/>
            </w:tcBorders>
          </w:tcPr>
          <w:p w14:paraId="09350114" w14:textId="77777777" w:rsidR="004C177B" w:rsidRDefault="0048311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Ekvivalentinė dozė</w:t>
            </w:r>
          </w:p>
        </w:tc>
      </w:tr>
      <w:tr w:rsidR="004C177B" w14:paraId="09350118" w14:textId="77777777">
        <w:trPr>
          <w:trHeight w:val="265"/>
          <w:jc w:val="center"/>
        </w:trPr>
        <w:tc>
          <w:tcPr>
            <w:tcW w:w="4770" w:type="dxa"/>
            <w:tcBorders>
              <w:top w:val="single" w:sz="2" w:space="0" w:color="auto"/>
              <w:bottom w:val="single" w:sz="2" w:space="0" w:color="auto"/>
            </w:tcBorders>
          </w:tcPr>
          <w:p w14:paraId="09350116" w14:textId="77777777" w:rsidR="004C177B" w:rsidRDefault="00483118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Apixabanum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</w:tcPr>
          <w:p w14:paraId="09350117" w14:textId="77777777" w:rsidR="004C177B" w:rsidRDefault="00483118">
            <w:pPr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10 mg</w:t>
            </w:r>
          </w:p>
        </w:tc>
      </w:tr>
      <w:tr w:rsidR="004C177B" w14:paraId="0935011B" w14:textId="77777777">
        <w:trPr>
          <w:trHeight w:val="256"/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350119" w14:textId="77777777" w:rsidR="004C177B" w:rsidRDefault="00483118">
            <w:pPr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Dabigatranum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</w:tcPr>
          <w:p w14:paraId="0935011A" w14:textId="77777777" w:rsidR="004C177B" w:rsidRDefault="00483118">
            <w:pPr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300 mg</w:t>
            </w:r>
          </w:p>
        </w:tc>
      </w:tr>
      <w:tr w:rsidR="004C177B" w14:paraId="0935011E" w14:textId="77777777">
        <w:trPr>
          <w:trHeight w:val="256"/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35011C" w14:textId="77777777" w:rsidR="004C177B" w:rsidRDefault="00483118">
            <w:pPr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Rivaroxabanum</w:t>
            </w:r>
            <w:proofErr w:type="spellEnd"/>
          </w:p>
        </w:tc>
        <w:tc>
          <w:tcPr>
            <w:tcW w:w="2970" w:type="dxa"/>
            <w:tcBorders>
              <w:top w:val="single" w:sz="2" w:space="0" w:color="auto"/>
              <w:bottom w:val="single" w:sz="2" w:space="0" w:color="auto"/>
            </w:tcBorders>
          </w:tcPr>
          <w:p w14:paraId="0935011D" w14:textId="77777777" w:rsidR="004C177B" w:rsidRDefault="00483118">
            <w:pPr>
              <w:jc w:val="center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20 mg</w:t>
            </w:r>
          </w:p>
        </w:tc>
      </w:tr>
    </w:tbl>
    <w:p w14:paraId="0935011F" w14:textId="77777777" w:rsidR="004C177B" w:rsidRDefault="00483118"/>
    <w:p w14:paraId="09350123" w14:textId="39B068DE" w:rsidR="004C177B" w:rsidRDefault="00483118" w:rsidP="00483118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 a v e d u  įsakymo vykdymo kontrolę viceministrui pagal veiklos sritį.</w:t>
      </w:r>
    </w:p>
    <w:p w14:paraId="708286C4" w14:textId="77777777" w:rsidR="00483118" w:rsidRDefault="00483118"/>
    <w:p w14:paraId="6FF8CC7A" w14:textId="77777777" w:rsidR="00483118" w:rsidRDefault="00483118"/>
    <w:p w14:paraId="36C963B3" w14:textId="77777777" w:rsidR="00483118" w:rsidRDefault="00483118"/>
    <w:p w14:paraId="09350124" w14:textId="5A790670" w:rsidR="004C177B" w:rsidRDefault="00483118">
      <w:pPr>
        <w:rPr>
          <w:bCs/>
          <w:szCs w:val="24"/>
        </w:rPr>
      </w:pPr>
      <w:r>
        <w:rPr>
          <w:bCs/>
          <w:szCs w:val="24"/>
        </w:rPr>
        <w:t>Socialinės apsaugos ir darbo ministras,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Linas </w:t>
      </w:r>
      <w:proofErr w:type="spellStart"/>
      <w:r>
        <w:rPr>
          <w:bCs/>
          <w:szCs w:val="24"/>
        </w:rPr>
        <w:t>Kukuraitis</w:t>
      </w:r>
      <w:proofErr w:type="spellEnd"/>
    </w:p>
    <w:p w14:paraId="09350131" w14:textId="200BDE88" w:rsidR="004C177B" w:rsidRDefault="00483118" w:rsidP="00483118">
      <w:pPr>
        <w:rPr>
          <w:szCs w:val="24"/>
        </w:rPr>
      </w:pPr>
      <w:r>
        <w:rPr>
          <w:bCs/>
          <w:szCs w:val="24"/>
        </w:rPr>
        <w:t>pavaduojantis sveikatos apsaugos ministrą</w:t>
      </w:r>
    </w:p>
    <w:bookmarkStart w:id="0" w:name="_GoBack" w:displacedByCustomXml="next"/>
    <w:bookmarkEnd w:id="0" w:displacedByCustomXml="next"/>
    <w:sectPr w:rsidR="004C17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680" w:bottom="1134" w:left="1701" w:header="1134" w:footer="113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0135" w14:textId="77777777" w:rsidR="004C177B" w:rsidRDefault="0048311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9350136" w14:textId="77777777" w:rsidR="004C177B" w:rsidRDefault="0048311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013B" w14:textId="77777777" w:rsidR="004C177B" w:rsidRDefault="004C177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013C" w14:textId="77777777" w:rsidR="004C177B" w:rsidRDefault="004C177B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013E" w14:textId="77777777" w:rsidR="004C177B" w:rsidRDefault="00483118">
    <w:pPr>
      <w:tabs>
        <w:tab w:val="center" w:pos="4153"/>
        <w:tab w:val="right" w:pos="9639"/>
      </w:tabs>
      <w:rPr>
        <w:sz w:val="20"/>
        <w:szCs w:val="24"/>
      </w:rPr>
    </w:pPr>
    <w:r>
      <w:rPr>
        <w:sz w:val="20"/>
        <w:szCs w:val="24"/>
      </w:rPr>
      <w:tab/>
    </w:r>
    <w:r>
      <w:rPr>
        <w:sz w:val="2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50133" w14:textId="77777777" w:rsidR="004C177B" w:rsidRDefault="0048311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9350134" w14:textId="77777777" w:rsidR="004C177B" w:rsidRDefault="0048311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0137" w14:textId="77777777" w:rsidR="004C177B" w:rsidRDefault="00483118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09350138" w14:textId="77777777" w:rsidR="004C177B" w:rsidRDefault="004C177B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0139" w14:textId="77777777" w:rsidR="004C177B" w:rsidRDefault="00483118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0935013A" w14:textId="77777777" w:rsidR="004C177B" w:rsidRDefault="004C177B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013D" w14:textId="77777777" w:rsidR="004C177B" w:rsidRDefault="004C177B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C"/>
    <w:rsid w:val="00483118"/>
    <w:rsid w:val="004C177B"/>
    <w:rsid w:val="00A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9350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1567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2017-10-16T05:50:00Z</dcterms:created>
  <dc:creator>Tadas Baltuška</dc:creator>
  <lastModifiedBy>PETRAUSKAITĖ Girmantė</lastModifiedBy>
  <lastPrinted>2017-10-09T07:57:00Z</lastPrinted>
  <dcterms:modified xsi:type="dcterms:W3CDTF">2017-10-16T07:42:00Z</dcterms:modified>
  <revision>3</revision>
  <dc:title>2001-05-00</dc:title>
</coreProperties>
</file>