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8142" w14:textId="77777777" w:rsidR="00FB45B6" w:rsidRDefault="000E37BA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8"/>
          <w:lang w:eastAsia="lt-LT"/>
        </w:rPr>
        <w:drawing>
          <wp:inline distT="0" distB="0" distL="0" distR="0" wp14:anchorId="6FFA822D" wp14:editId="6FFA822E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A8143" w14:textId="77777777" w:rsidR="00FB45B6" w:rsidRDefault="000E37BA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6FFA8144" w14:textId="77777777" w:rsidR="00FB45B6" w:rsidRDefault="00FB45B6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FFA8145" w14:textId="77777777" w:rsidR="00FB45B6" w:rsidRDefault="000E37BA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6FFA8146" w14:textId="77777777" w:rsidR="00FB45B6" w:rsidRDefault="000E37BA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caps/>
        </w:rPr>
        <w:t>DĖL ŽEMĖS ŪKIO MINISTRO 2017 m. rugsėjo 21 D. ĮSAKYMO nR. 3d-599 „dĖL</w:t>
      </w:r>
      <w:r>
        <w:rPr>
          <w:szCs w:val="24"/>
        </w:rPr>
        <w:t xml:space="preserve"> </w:t>
      </w:r>
      <w:r>
        <w:rPr>
          <w:b/>
          <w:caps/>
        </w:rPr>
        <w:t xml:space="preserve">VAISIŲ IR DARŽOVIŲ BEI PIENO IR PIENO PRODUKTŲ VARTOJIMO </w:t>
      </w:r>
      <w:r>
        <w:rPr>
          <w:b/>
          <w:caps/>
        </w:rPr>
        <w:t>SKATINIMO VAIKŲ UGDYMO ĮSTAIGOSE PROGRAMOS ĮGYVENDINIMO TAISYKLIŲ PATVIRTINIMO“ PAKEITIMO</w:t>
      </w:r>
    </w:p>
    <w:p w14:paraId="6FFA8148" w14:textId="77777777" w:rsidR="00FB45B6" w:rsidRDefault="00FB45B6">
      <w:pPr>
        <w:overflowPunct w:val="0"/>
        <w:jc w:val="center"/>
        <w:textAlignment w:val="baseline"/>
      </w:pPr>
    </w:p>
    <w:p w14:paraId="6FFA8149" w14:textId="77777777" w:rsidR="00FB45B6" w:rsidRDefault="000E37BA">
      <w:pPr>
        <w:overflowPunct w:val="0"/>
        <w:jc w:val="center"/>
        <w:textAlignment w:val="baseline"/>
      </w:pPr>
      <w:r>
        <w:t>2019 m. rugpjūčio 6 d. Nr. 3D-462</w:t>
      </w:r>
    </w:p>
    <w:p w14:paraId="6FFA814A" w14:textId="77777777" w:rsidR="00FB45B6" w:rsidRDefault="000E37BA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6FFA814B" w14:textId="77777777" w:rsidR="00FB45B6" w:rsidRDefault="00FB45B6">
      <w:pPr>
        <w:overflowPunct w:val="0"/>
        <w:jc w:val="center"/>
        <w:textAlignment w:val="baseline"/>
      </w:pPr>
    </w:p>
    <w:p w14:paraId="6FFA814C" w14:textId="77777777" w:rsidR="00FB45B6" w:rsidRDefault="000E37BA">
      <w:pPr>
        <w:overflowPunct w:val="0"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</w:t>
      </w:r>
      <w:r>
        <w:rPr>
          <w:szCs w:val="24"/>
        </w:rPr>
        <w:t>Vaisių ir daržovių bei pieno ir pieno produktų vartojimo skatinimo vaikų ugdymo įstaigose programos įgyve</w:t>
      </w:r>
      <w:r>
        <w:rPr>
          <w:szCs w:val="24"/>
        </w:rPr>
        <w:t xml:space="preserve">ndinimo taisykles, </w:t>
      </w:r>
      <w:r>
        <w:rPr>
          <w:szCs w:val="24"/>
          <w:lang w:eastAsia="lt-LT"/>
        </w:rPr>
        <w:t>patvirtintas Lietuvos Respublikos žemės ūkio ministro 2017 m. rugsėjo 21 d. įsakymu Nr. 3D-599 „</w:t>
      </w:r>
      <w:r>
        <w:rPr>
          <w:szCs w:val="24"/>
        </w:rPr>
        <w:t xml:space="preserve">Dėl Vaisių ir daržovių bei pieno ir pieno produktų vartojimo skatinimo vaikų ugdymo įstaigose programos </w:t>
      </w:r>
      <w:r>
        <w:t>įgyvendinimo taisyklių</w:t>
      </w:r>
      <w:r>
        <w:rPr>
          <w:szCs w:val="24"/>
        </w:rPr>
        <w:t xml:space="preserve"> patvirtinimo</w:t>
      </w:r>
      <w:r>
        <w:rPr>
          <w:szCs w:val="24"/>
          <w:lang w:eastAsia="lt-LT"/>
        </w:rPr>
        <w:t>“:</w:t>
      </w:r>
    </w:p>
    <w:p w14:paraId="6FFA814D" w14:textId="287507C5" w:rsidR="00FB45B6" w:rsidRDefault="000E37BA">
      <w:pPr>
        <w:overflowPunct w:val="0"/>
        <w:spacing w:line="360" w:lineRule="auto"/>
        <w:ind w:left="1069" w:hanging="360"/>
        <w:jc w:val="both"/>
        <w:textAlignment w:val="baseline"/>
        <w:rPr>
          <w:szCs w:val="24"/>
          <w:lang w:val="en-GB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proofErr w:type="spellStart"/>
      <w:r>
        <w:rPr>
          <w:szCs w:val="24"/>
          <w:lang w:val="en-GB"/>
        </w:rPr>
        <w:t>Pakeičiu</w:t>
      </w:r>
      <w:proofErr w:type="spellEnd"/>
      <w:r>
        <w:rPr>
          <w:szCs w:val="24"/>
          <w:lang w:val="en-GB"/>
        </w:rPr>
        <w:t xml:space="preserve"> 4 </w:t>
      </w:r>
      <w:proofErr w:type="spellStart"/>
      <w:r>
        <w:rPr>
          <w:szCs w:val="24"/>
          <w:lang w:val="en-GB"/>
        </w:rPr>
        <w:t>punktą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išdėstau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taip</w:t>
      </w:r>
      <w:proofErr w:type="spellEnd"/>
      <w:r>
        <w:rPr>
          <w:szCs w:val="24"/>
          <w:lang w:val="en-GB"/>
        </w:rPr>
        <w:t>:</w:t>
      </w:r>
    </w:p>
    <w:p w14:paraId="6FFA814E" w14:textId="29E365F0" w:rsidR="00FB45B6" w:rsidRDefault="000E37BA">
      <w:pPr>
        <w:overflowPunct w:val="0"/>
        <w:spacing w:line="360" w:lineRule="auto"/>
        <w:ind w:firstLine="709"/>
        <w:jc w:val="both"/>
        <w:textAlignment w:val="baseline"/>
        <w:rPr>
          <w:lang w:eastAsia="lt-LT"/>
        </w:rPr>
      </w:pPr>
      <w:r>
        <w:rPr>
          <w:szCs w:val="24"/>
          <w:lang w:val="en-GB" w:eastAsia="lt-LT"/>
        </w:rPr>
        <w:t>„</w:t>
      </w:r>
      <w:r>
        <w:rPr>
          <w:szCs w:val="24"/>
          <w:lang w:val="en-GB" w:eastAsia="lt-LT"/>
        </w:rPr>
        <w:t>4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Per mokslo metus ikimokyklinio ugdymo įstaigose ir bendrojo ugdymo mokyklose (toliau – ugdymo įstaigos), registruotose Švietimo ir mokslo institucijų registre, Strategijos 19 punkte nurodytai tikslinei g</w:t>
      </w:r>
      <w:r>
        <w:rPr>
          <w:lang w:eastAsia="lt-LT"/>
        </w:rPr>
        <w:t>rupei (ikimokyklinio ir priešmokyklinio amžiaus vaikams ir 1–4 klasių mokiniams (toliau – vaikai) yra tiekiami produktai bei vykdomos kitos priemonės pagal Programą. Pagal Programą tiekiami produktai nėra įtraukiami į vaikų maitinimus pagal valgiaraštį, su</w:t>
      </w:r>
      <w:r>
        <w:rPr>
          <w:lang w:eastAsia="lt-LT"/>
        </w:rPr>
        <w:t xml:space="preserve">darytą vadovaujantis Lietuvos Respublikos sveikatos apsaugos ministro </w:t>
      </w:r>
      <w:r>
        <w:rPr>
          <w:szCs w:val="24"/>
        </w:rPr>
        <w:t xml:space="preserve">2011 m. lapkričio 11 d. įsakymu Nr. V-964 </w:t>
      </w:r>
      <w:r>
        <w:rPr>
          <w:lang w:eastAsia="lt-LT"/>
        </w:rPr>
        <w:t>„Dėl Vaikų maitinimo organizavimo tvarkos aprašo patvirtinimo.“</w:t>
      </w:r>
    </w:p>
    <w:p w14:paraId="6FFA814F" w14:textId="326DC13C" w:rsidR="00FB45B6" w:rsidRDefault="000E37BA">
      <w:pPr>
        <w:overflowPunct w:val="0"/>
        <w:spacing w:line="360" w:lineRule="auto"/>
        <w:ind w:left="1069" w:hanging="360"/>
        <w:jc w:val="both"/>
        <w:textAlignment w:val="baseline"/>
        <w:rPr>
          <w:szCs w:val="24"/>
          <w:lang w:val="en-GB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proofErr w:type="spellStart"/>
      <w:r>
        <w:rPr>
          <w:szCs w:val="24"/>
          <w:lang w:val="en-GB"/>
        </w:rPr>
        <w:t>Pakeičiu</w:t>
      </w:r>
      <w:proofErr w:type="spellEnd"/>
      <w:r>
        <w:rPr>
          <w:szCs w:val="24"/>
          <w:lang w:val="en-GB"/>
        </w:rPr>
        <w:t xml:space="preserve"> 19.2.1 </w:t>
      </w:r>
      <w:proofErr w:type="spellStart"/>
      <w:r>
        <w:rPr>
          <w:szCs w:val="24"/>
          <w:lang w:val="en-GB"/>
        </w:rPr>
        <w:t>papunktį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išdėstau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taip</w:t>
      </w:r>
      <w:proofErr w:type="spellEnd"/>
      <w:r>
        <w:rPr>
          <w:szCs w:val="24"/>
          <w:lang w:val="en-GB"/>
        </w:rPr>
        <w:t>:</w:t>
      </w:r>
    </w:p>
    <w:p w14:paraId="6FFA8150" w14:textId="3BE061D9" w:rsidR="00FB45B6" w:rsidRDefault="000E37BA">
      <w:pPr>
        <w:overflowPunct w:val="0"/>
        <w:spacing w:line="360" w:lineRule="auto"/>
        <w:ind w:firstLine="709"/>
        <w:jc w:val="both"/>
        <w:textAlignment w:val="baseline"/>
        <w:rPr>
          <w:szCs w:val="24"/>
          <w:lang w:val="en-GB"/>
        </w:rPr>
      </w:pPr>
      <w:r>
        <w:t>„</w:t>
      </w:r>
      <w:r>
        <w:t>19.2.1.</w:t>
      </w:r>
      <w:r>
        <w:t xml:space="preserve"> mokymo (metodinės)</w:t>
      </w:r>
      <w:r>
        <w:t xml:space="preserve"> medžiagos (metodinės medžiagos sukūrimas pedagogams, užduočių knygelių bei kitų lavinamųjų priemonių sukūrimas vaikams) parengimas (autorinis atlyginimas, leidyba, taip pat ir elektronine forma, dauginimas, įrišimas bei platinimas ugdymo įstaigoms);“.</w:t>
      </w:r>
    </w:p>
    <w:p w14:paraId="6FFA8151" w14:textId="77777777" w:rsidR="00FB45B6" w:rsidRDefault="000E37BA">
      <w:pPr>
        <w:overflowPunct w:val="0"/>
        <w:spacing w:line="360" w:lineRule="auto"/>
        <w:ind w:left="1069" w:hanging="360"/>
        <w:jc w:val="both"/>
        <w:textAlignment w:val="baseline"/>
        <w:rPr>
          <w:szCs w:val="24"/>
          <w:lang w:val="en-GB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proofErr w:type="spellStart"/>
      <w:proofErr w:type="gramStart"/>
      <w:r>
        <w:rPr>
          <w:szCs w:val="24"/>
          <w:lang w:val="en-GB"/>
        </w:rPr>
        <w:t>Pakeičiu</w:t>
      </w:r>
      <w:proofErr w:type="spellEnd"/>
      <w:r>
        <w:rPr>
          <w:szCs w:val="24"/>
          <w:lang w:val="en-GB"/>
        </w:rPr>
        <w:t xml:space="preserve"> 1 </w:t>
      </w:r>
      <w:proofErr w:type="spellStart"/>
      <w:r>
        <w:rPr>
          <w:szCs w:val="24"/>
          <w:lang w:val="en-GB"/>
        </w:rPr>
        <w:t>priedą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išdėstau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redakcija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pridedama</w:t>
      </w:r>
      <w:proofErr w:type="spellEnd"/>
      <w:r>
        <w:rPr>
          <w:szCs w:val="24"/>
          <w:lang w:val="en-GB"/>
        </w:rPr>
        <w:t>).</w:t>
      </w:r>
      <w:proofErr w:type="gramEnd"/>
    </w:p>
    <w:p w14:paraId="6FFA8154" w14:textId="34428F62" w:rsidR="00FB45B6" w:rsidRDefault="000E37BA" w:rsidP="000E37BA">
      <w:pPr>
        <w:overflowPunct w:val="0"/>
        <w:spacing w:line="360" w:lineRule="auto"/>
        <w:ind w:left="1069" w:hanging="360"/>
        <w:jc w:val="both"/>
        <w:textAlignment w:val="baseline"/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proofErr w:type="spellStart"/>
      <w:proofErr w:type="gramStart"/>
      <w:r>
        <w:rPr>
          <w:szCs w:val="24"/>
          <w:lang w:val="en-GB"/>
        </w:rPr>
        <w:t>Pakeičiu</w:t>
      </w:r>
      <w:proofErr w:type="spellEnd"/>
      <w:r>
        <w:rPr>
          <w:szCs w:val="24"/>
          <w:lang w:val="en-GB"/>
        </w:rPr>
        <w:t xml:space="preserve"> 3 </w:t>
      </w:r>
      <w:proofErr w:type="spellStart"/>
      <w:r>
        <w:rPr>
          <w:szCs w:val="24"/>
          <w:lang w:val="en-GB"/>
        </w:rPr>
        <w:t>priedą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išdėstau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redakcija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pridedama</w:t>
      </w:r>
      <w:proofErr w:type="spellEnd"/>
      <w:r>
        <w:rPr>
          <w:szCs w:val="24"/>
          <w:lang w:val="en-GB"/>
        </w:rPr>
        <w:t>).</w:t>
      </w:r>
      <w:proofErr w:type="gramEnd"/>
    </w:p>
    <w:p w14:paraId="1C911152" w14:textId="604037F5" w:rsidR="000E37BA" w:rsidRDefault="000E37BA">
      <w:pPr>
        <w:overflowPunct w:val="0"/>
        <w:jc w:val="both"/>
        <w:textAlignment w:val="baseline"/>
      </w:pPr>
    </w:p>
    <w:p w14:paraId="04523176" w14:textId="77777777" w:rsidR="000E37BA" w:rsidRDefault="000E37BA">
      <w:pPr>
        <w:overflowPunct w:val="0"/>
        <w:jc w:val="both"/>
        <w:textAlignment w:val="baseline"/>
      </w:pPr>
    </w:p>
    <w:p w14:paraId="6FFA8155" w14:textId="6D136831" w:rsidR="00FB45B6" w:rsidRDefault="000E37BA">
      <w:pPr>
        <w:overflowPunct w:val="0"/>
        <w:jc w:val="both"/>
        <w:textAlignment w:val="baseline"/>
      </w:pPr>
      <w:r>
        <w:t>L. e. ekonomikos ir inovacijų ministro pareigas,</w:t>
      </w:r>
    </w:p>
    <w:p w14:paraId="6FFA8157" w14:textId="59081CFA" w:rsidR="00FB45B6" w:rsidRDefault="000E37BA">
      <w:pPr>
        <w:overflowPunct w:val="0"/>
        <w:spacing w:line="360" w:lineRule="auto"/>
        <w:jc w:val="both"/>
        <w:textAlignment w:val="baseline"/>
        <w:rPr>
          <w:lang w:val="en-GB"/>
        </w:rPr>
      </w:pPr>
      <w:r>
        <w:t>pavaduojantis žemės ūkio ministrą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GB"/>
        </w:rPr>
        <w:t>Virginijus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Sinkevičius</w:t>
      </w:r>
      <w:proofErr w:type="spellEnd"/>
    </w:p>
    <w:p w14:paraId="7D3AEFA2" w14:textId="271DDF38" w:rsidR="000E37BA" w:rsidRDefault="000E37BA">
      <w:pPr>
        <w:ind w:left="5670"/>
        <w:sectPr w:rsidR="000E37BA" w:rsidSect="000E3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701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6FFA8158" w14:textId="5F774264" w:rsidR="00FB45B6" w:rsidRDefault="000E37BA">
      <w:pPr>
        <w:ind w:left="5670"/>
      </w:pPr>
      <w:r>
        <w:lastRenderedPageBreak/>
        <w:t xml:space="preserve">Vaisių ir daržovių bei pieno ir pieno </w:t>
      </w:r>
    </w:p>
    <w:p w14:paraId="6FFA8159" w14:textId="77777777" w:rsidR="00FB45B6" w:rsidRDefault="000E37BA">
      <w:pPr>
        <w:ind w:left="5670"/>
      </w:pPr>
      <w:r>
        <w:t xml:space="preserve">produktų vartojimo skatinimo vaikų </w:t>
      </w:r>
    </w:p>
    <w:p w14:paraId="6FFA815A" w14:textId="77777777" w:rsidR="00FB45B6" w:rsidRDefault="000E37BA">
      <w:pPr>
        <w:ind w:left="5670"/>
      </w:pPr>
      <w:r>
        <w:t xml:space="preserve">ugdymo įstaigose programos </w:t>
      </w:r>
    </w:p>
    <w:p w14:paraId="6FFA815B" w14:textId="77777777" w:rsidR="00FB45B6" w:rsidRDefault="000E37BA">
      <w:pPr>
        <w:ind w:left="5670"/>
        <w:rPr>
          <w:lang w:eastAsia="lt-LT"/>
        </w:rPr>
      </w:pPr>
      <w:r>
        <w:t>įgyvendinimo</w:t>
      </w:r>
      <w:r>
        <w:rPr>
          <w:lang w:eastAsia="lt-LT"/>
        </w:rPr>
        <w:t xml:space="preserve"> taisyklių </w:t>
      </w:r>
    </w:p>
    <w:p w14:paraId="6FFA815C" w14:textId="77777777" w:rsidR="00FB45B6" w:rsidRDefault="000E37BA">
      <w:pPr>
        <w:ind w:left="5670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 priedas </w:t>
      </w:r>
    </w:p>
    <w:p w14:paraId="6FFA815D" w14:textId="77777777" w:rsidR="00FB45B6" w:rsidRDefault="00FB45B6">
      <w:pPr>
        <w:tabs>
          <w:tab w:val="left" w:pos="576"/>
        </w:tabs>
        <w:ind w:left="5670"/>
        <w:rPr>
          <w:lang w:eastAsia="lt-LT"/>
        </w:rPr>
      </w:pPr>
    </w:p>
    <w:p w14:paraId="6FFA815E" w14:textId="77777777" w:rsidR="00FB45B6" w:rsidRDefault="00FB45B6">
      <w:pPr>
        <w:keepLines/>
        <w:suppressAutoHyphens/>
        <w:spacing w:line="276" w:lineRule="auto"/>
        <w:jc w:val="center"/>
        <w:textAlignment w:val="center"/>
        <w:rPr>
          <w:b/>
          <w:bCs/>
          <w:caps/>
          <w:color w:val="000000"/>
          <w:sz w:val="22"/>
          <w:szCs w:val="22"/>
        </w:rPr>
      </w:pPr>
    </w:p>
    <w:p w14:paraId="6FFA815F" w14:textId="77777777" w:rsidR="00FB45B6" w:rsidRDefault="000E37BA">
      <w:pPr>
        <w:keepLines/>
        <w:suppressAutoHyphens/>
        <w:spacing w:line="276" w:lineRule="auto"/>
        <w:jc w:val="center"/>
        <w:textAlignment w:val="center"/>
        <w:rPr>
          <w:b/>
          <w:bCs/>
          <w:caps/>
          <w:color w:val="000000"/>
        </w:rPr>
      </w:pPr>
      <w:r>
        <w:rPr>
          <w:b/>
        </w:rPr>
        <w:t>VAISIŲ IR DARŽOVIŲ BEI PIENO IR PIENO PRODUKTŲ VARTOJIMO SKATINIMO VAIKŲ UGDYMO ĮSTAIGOSE PROGRAMOS</w:t>
      </w:r>
      <w:r>
        <w:rPr>
          <w:b/>
          <w:bCs/>
          <w:caps/>
          <w:color w:val="000000"/>
        </w:rPr>
        <w:t xml:space="preserve"> FINANSAVIMO</w:t>
      </w:r>
      <w:r>
        <w:rPr>
          <w:b/>
          <w:bCs/>
          <w:caps/>
          <w:color w:val="000000"/>
        </w:rPr>
        <w:t xml:space="preserve"> PLANAS </w:t>
      </w:r>
      <w:r>
        <w:rPr>
          <w:b/>
          <w:color w:val="000000"/>
          <w:lang w:eastAsia="lt-LT"/>
        </w:rPr>
        <w:t>2019–2020 MOKSLO METAMS</w:t>
      </w:r>
      <w:r>
        <w:rPr>
          <w:b/>
          <w:bCs/>
          <w:color w:val="000000"/>
        </w:rPr>
        <w:t xml:space="preserve"> </w:t>
      </w:r>
      <w:r>
        <w:rPr>
          <w:b/>
          <w:bCs/>
          <w:caps/>
          <w:color w:val="000000"/>
        </w:rPr>
        <w:t>PAGAL PRIEMONES</w:t>
      </w:r>
    </w:p>
    <w:p w14:paraId="6FFA8160" w14:textId="77777777" w:rsidR="00FB45B6" w:rsidRDefault="00FB45B6">
      <w:pPr>
        <w:suppressAutoHyphens/>
        <w:spacing w:line="276" w:lineRule="auto"/>
        <w:ind w:firstLine="312"/>
        <w:textAlignment w:val="center"/>
        <w:rPr>
          <w:color w:val="000000"/>
          <w:sz w:val="22"/>
          <w:szCs w:val="22"/>
        </w:rPr>
      </w:pPr>
    </w:p>
    <w:p w14:paraId="6FFA8161" w14:textId="77777777" w:rsidR="00FB45B6" w:rsidRDefault="000E37BA">
      <w:pPr>
        <w:suppressAutoHyphens/>
        <w:spacing w:line="276" w:lineRule="auto"/>
        <w:ind w:firstLine="709"/>
        <w:textAlignment w:val="center"/>
        <w:rPr>
          <w:color w:val="000000"/>
          <w:lang w:eastAsia="lt-LT"/>
        </w:rPr>
      </w:pPr>
      <w:r>
        <w:t xml:space="preserve">2019–2020 mokslo metams Vaisių ir daržovių bei pieno ir pieno produktų vartojimo skatinimo vaikų ugdymo įstaigose programai įgyvendinti lėšos skiriamos taip: </w:t>
      </w:r>
    </w:p>
    <w:p w14:paraId="6FFA8162" w14:textId="3923F958" w:rsidR="00FB45B6" w:rsidRDefault="000E37BA">
      <w:pPr>
        <w:suppressAutoHyphens/>
        <w:spacing w:line="276" w:lineRule="auto"/>
        <w:ind w:firstLine="709"/>
        <w:textAlignment w:val="center"/>
        <w:rPr>
          <w:szCs w:val="24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) produktų </w:t>
      </w:r>
      <w:r>
        <w:rPr>
          <w:bCs/>
          <w:color w:val="000000"/>
          <w:lang w:eastAsia="lt-LT"/>
        </w:rPr>
        <w:t xml:space="preserve">tiekimo ugdymo įstaigoms </w:t>
      </w:r>
      <w:r>
        <w:rPr>
          <w:bCs/>
          <w:color w:val="000000"/>
          <w:lang w:eastAsia="lt-LT"/>
        </w:rPr>
        <w:t>išlaidos, įskaitant transportavimo ir dalijimo išlaidas,</w:t>
      </w:r>
      <w:r>
        <w:rPr>
          <w:color w:val="000000"/>
          <w:lang w:eastAsia="lt-LT"/>
        </w:rPr>
        <w:t xml:space="preserve"> be </w:t>
      </w:r>
      <w:r>
        <w:rPr>
          <w:color w:val="000000"/>
          <w:szCs w:val="24"/>
          <w:lang w:eastAsia="lt-LT"/>
        </w:rPr>
        <w:t xml:space="preserve">pridėtinės vertės mokesčio (toliau – PVM) dengiamos iš Europos žemės ūkio garantijų fondo tol, </w:t>
      </w:r>
      <w:r>
        <w:rPr>
          <w:szCs w:val="24"/>
          <w:lang w:eastAsia="lt-LT"/>
        </w:rPr>
        <w:t xml:space="preserve">kol išnaudojamos visos EK skirtos ES lėšos Lietuvai, o toliau –  iš </w:t>
      </w:r>
      <w:r>
        <w:rPr>
          <w:szCs w:val="24"/>
        </w:rPr>
        <w:t>Lietuvos Respublikos valstybės bi</w:t>
      </w:r>
      <w:r>
        <w:rPr>
          <w:szCs w:val="24"/>
        </w:rPr>
        <w:t>udžeto, neviršijant lentelėje nurodytos sumos</w:t>
      </w:r>
      <w:r>
        <w:rPr>
          <w:szCs w:val="24"/>
          <w:lang w:eastAsia="lt-LT"/>
        </w:rPr>
        <w:t xml:space="preserve">. </w:t>
      </w:r>
      <w:proofErr w:type="spellStart"/>
      <w:r>
        <w:t>VšĮ</w:t>
      </w:r>
      <w:proofErr w:type="spellEnd"/>
      <w:r>
        <w:t xml:space="preserve"> Kaimo verslo ir rinkų plėtros agentūra</w:t>
      </w:r>
      <w:r>
        <w:rPr>
          <w:szCs w:val="24"/>
        </w:rPr>
        <w:t xml:space="preserve"> kontroliuoja EK skirtų ES lėšų panaudojimo likutį ir užtikrina, kad nebūtų viršyta skirta Lietuvai suma;</w:t>
      </w:r>
    </w:p>
    <w:p w14:paraId="6FFA8163" w14:textId="0B9ABE02" w:rsidR="00FB45B6" w:rsidRDefault="000E37BA">
      <w:pPr>
        <w:suppressAutoHyphens/>
        <w:spacing w:line="276" w:lineRule="auto"/>
        <w:ind w:firstLine="709"/>
        <w:textAlignment w:val="center"/>
        <w:rPr>
          <w:color w:val="000000"/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) š</w:t>
      </w:r>
      <w:r>
        <w:rPr>
          <w:bCs/>
          <w:color w:val="000000"/>
          <w:lang w:eastAsia="lt-LT"/>
        </w:rPr>
        <w:t>vietimo priemonių ir visuomenės informavimo priemonių</w:t>
      </w:r>
      <w:r>
        <w:rPr>
          <w:bCs/>
          <w:color w:val="000000"/>
          <w:lang w:eastAsia="lt-LT"/>
        </w:rPr>
        <w:t xml:space="preserve"> įgyvendinimo išlaidos be PVM dengiamos iš </w:t>
      </w:r>
      <w:r>
        <w:rPr>
          <w:color w:val="000000"/>
          <w:lang w:eastAsia="lt-LT"/>
        </w:rPr>
        <w:t>Europos žemės ūkio garantijų fondo;</w:t>
      </w:r>
    </w:p>
    <w:p w14:paraId="6FFA8164" w14:textId="4B43CCE3" w:rsidR="00FB45B6" w:rsidRDefault="000E37BA">
      <w:pPr>
        <w:suppressAutoHyphens/>
        <w:spacing w:line="276" w:lineRule="auto"/>
        <w:ind w:firstLine="709"/>
        <w:textAlignment w:val="center"/>
        <w:rPr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 xml:space="preserve">) </w:t>
      </w:r>
      <w:r>
        <w:rPr>
          <w:lang w:eastAsia="lt-LT"/>
        </w:rPr>
        <w:t>š</w:t>
      </w:r>
      <w:r>
        <w:rPr>
          <w:bCs/>
          <w:color w:val="000000"/>
          <w:lang w:eastAsia="lt-LT"/>
        </w:rPr>
        <w:t xml:space="preserve">vietimo priemonių ir visuomenės informavimo priemonių įgyvendinimo išlaidos dengiamos po lygiai (po 50 proc.) iš </w:t>
      </w:r>
      <w:r>
        <w:rPr>
          <w:color w:val="000000"/>
          <w:lang w:eastAsia="lt-LT"/>
        </w:rPr>
        <w:t xml:space="preserve">vaisių ir daržovių dalies bei pieno ir pieno gaminių dalies. </w:t>
      </w:r>
    </w:p>
    <w:p w14:paraId="6FFA8165" w14:textId="77777777" w:rsidR="00FB45B6" w:rsidRDefault="00FB45B6">
      <w:pPr>
        <w:suppressAutoHyphens/>
        <w:spacing w:line="276" w:lineRule="auto"/>
        <w:ind w:firstLine="709"/>
        <w:textAlignment w:val="center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360"/>
        <w:gridCol w:w="1380"/>
        <w:gridCol w:w="1375"/>
        <w:gridCol w:w="1276"/>
      </w:tblGrid>
      <w:tr w:rsidR="00FB45B6" w14:paraId="6FFA8169" w14:textId="7777777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66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67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Priemonė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68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Paramos lėšos 2019–2020 mokslo metams</w:t>
            </w:r>
          </w:p>
        </w:tc>
      </w:tr>
      <w:tr w:rsidR="00FB45B6" w14:paraId="6FFA816F" w14:textId="77777777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16A" w14:textId="77777777" w:rsidR="00FB45B6" w:rsidRDefault="00FB45B6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16B" w14:textId="77777777" w:rsidR="00FB45B6" w:rsidRDefault="00FB45B6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A816C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Vaisių ir daržovių dalis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A816D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Pieno ir pieno gaminių dalis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16E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</w:tr>
      <w:tr w:rsidR="00FB45B6" w14:paraId="6FFA8175" w14:textId="777777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0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1.        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1" w14:textId="77777777" w:rsidR="00FB45B6" w:rsidRDefault="000E37BA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Produktų tiekimas ugdymo įstaigoms, įskaitant transportavimo ir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dalijimo išlaidas, iš jų: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2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2 057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3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174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5 121</w:t>
            </w:r>
          </w:p>
        </w:tc>
      </w:tr>
      <w:tr w:rsidR="00FB45B6" w14:paraId="6FFA817B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6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7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ES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8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9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17A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1 958</w:t>
            </w:r>
          </w:p>
        </w:tc>
      </w:tr>
      <w:tr w:rsidR="00FB45B6" w14:paraId="6FFA8181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C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D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E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7F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180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2 274</w:t>
            </w:r>
          </w:p>
        </w:tc>
      </w:tr>
      <w:tr w:rsidR="00FB45B6" w14:paraId="6FFA8187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2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3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skirtos PVM apmokėti,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4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5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186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889</w:t>
            </w:r>
          </w:p>
        </w:tc>
      </w:tr>
      <w:tr w:rsidR="00FB45B6" w14:paraId="6FFA818B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8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2.        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9" w14:textId="77777777" w:rsidR="00FB45B6" w:rsidRDefault="000E37BA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Švietimo priemonių įgyvendinimui,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iš jų: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8A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132</w:t>
            </w:r>
          </w:p>
        </w:tc>
      </w:tr>
      <w:tr w:rsidR="00FB45B6" w14:paraId="6FFA818F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C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8D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ES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818E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109</w:t>
            </w:r>
          </w:p>
        </w:tc>
      </w:tr>
      <w:tr w:rsidR="00FB45B6" w14:paraId="6FFA8193" w14:textId="777777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0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1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92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  <w:tr w:rsidR="00FB45B6" w14:paraId="6FFA8197" w14:textId="777777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4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5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skirtos PVM apmokėti,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96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</w:t>
            </w:r>
          </w:p>
        </w:tc>
      </w:tr>
      <w:tr w:rsidR="00FB45B6" w14:paraId="6FFA819B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8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3.        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9" w14:textId="77777777" w:rsidR="00FB45B6" w:rsidRDefault="000E37BA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Visuomenės informavimo priemonių įgyvendinimui, iš jų: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9A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132</w:t>
            </w:r>
          </w:p>
        </w:tc>
      </w:tr>
      <w:tr w:rsidR="00FB45B6" w14:paraId="6FFA819F" w14:textId="777777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C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D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ES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9E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109</w:t>
            </w:r>
          </w:p>
        </w:tc>
      </w:tr>
      <w:tr w:rsidR="00FB45B6" w14:paraId="6FFA81A3" w14:textId="7777777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0" w14:textId="77777777" w:rsidR="00FB45B6" w:rsidRDefault="00FB45B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1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</w:t>
            </w:r>
            <w:r>
              <w:rPr>
                <w:color w:val="000000"/>
                <w:szCs w:val="24"/>
                <w:lang w:eastAsia="lt-LT"/>
              </w:rPr>
              <w:t xml:space="preserve">biudžeto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A2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  <w:tr w:rsidR="00FB45B6" w14:paraId="6FFA81A7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4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5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skirtos PVM apmokėti,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A6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</w:t>
            </w:r>
          </w:p>
        </w:tc>
      </w:tr>
      <w:tr w:rsidR="00FB45B6" w14:paraId="6FFA81AB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8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4.        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9" w14:textId="77777777" w:rsidR="00FB45B6" w:rsidRDefault="000E37BA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Programos vertinimui ir ataskaitos rengimui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AA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12</w:t>
            </w:r>
          </w:p>
        </w:tc>
      </w:tr>
      <w:tr w:rsidR="00FB45B6" w14:paraId="6FFA81AF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C" w14:textId="77777777" w:rsidR="00FB45B6" w:rsidRDefault="00FB45B6">
            <w:pPr>
              <w:ind w:firstLine="62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AD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ES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AE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</w:tr>
      <w:tr w:rsidR="00FB45B6" w14:paraId="6FFA81B3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0" w14:textId="77777777" w:rsidR="00FB45B6" w:rsidRDefault="00FB45B6">
            <w:pPr>
              <w:ind w:firstLine="62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1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B2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</w:t>
            </w:r>
          </w:p>
        </w:tc>
      </w:tr>
      <w:tr w:rsidR="00FB45B6" w14:paraId="6FFA81B7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4" w14:textId="77777777" w:rsidR="00FB45B6" w:rsidRDefault="00FB45B6">
            <w:pPr>
              <w:ind w:firstLine="62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5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skirtos </w:t>
            </w:r>
            <w:r>
              <w:rPr>
                <w:color w:val="000000"/>
                <w:szCs w:val="24"/>
                <w:lang w:eastAsia="lt-LT"/>
              </w:rPr>
              <w:t xml:space="preserve">PVM apmokėti,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B6" w14:textId="77777777" w:rsidR="00FB45B6" w:rsidRDefault="000E37B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</w:tr>
      <w:tr w:rsidR="00FB45B6" w14:paraId="6FFA81BB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8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9" w14:textId="77777777" w:rsidR="00FB45B6" w:rsidRDefault="000E37BA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BA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5 397</w:t>
            </w:r>
          </w:p>
        </w:tc>
      </w:tr>
      <w:tr w:rsidR="00FB45B6" w14:paraId="6FFA81BF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C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BD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ES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BE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2 186</w:t>
            </w:r>
          </w:p>
        </w:tc>
      </w:tr>
      <w:tr w:rsidR="00FB45B6" w14:paraId="6FFA81C3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C0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C1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C2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2 274</w:t>
            </w:r>
          </w:p>
        </w:tc>
      </w:tr>
      <w:tr w:rsidR="00FB45B6" w14:paraId="6FFA81C7" w14:textId="777777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C4" w14:textId="77777777" w:rsidR="00FB45B6" w:rsidRDefault="00FB45B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1C5" w14:textId="77777777" w:rsidR="00FB45B6" w:rsidRDefault="000E37BA">
            <w:pPr>
              <w:ind w:firstLine="186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lėšos, skirtos PVM apmokėti, tūkst.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C6" w14:textId="77777777" w:rsidR="00FB45B6" w:rsidRDefault="000E37BA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937</w:t>
            </w:r>
          </w:p>
        </w:tc>
      </w:tr>
    </w:tbl>
    <w:p w14:paraId="6FFA81CC" w14:textId="2A902DB8" w:rsidR="00FB45B6" w:rsidRDefault="000E37BA" w:rsidP="000E37BA">
      <w:pPr>
        <w:suppressAutoHyphens/>
        <w:spacing w:line="276" w:lineRule="auto"/>
        <w:jc w:val="center"/>
        <w:textAlignment w:val="center"/>
      </w:pPr>
      <w:r>
        <w:rPr>
          <w:color w:val="000000"/>
          <w:sz w:val="22"/>
          <w:szCs w:val="22"/>
          <w:lang w:val="en-US"/>
        </w:rPr>
        <w:t>_____________________</w:t>
      </w:r>
    </w:p>
    <w:p w14:paraId="40642E7F" w14:textId="77777777" w:rsidR="000E37BA" w:rsidRDefault="000E37BA">
      <w:pPr>
        <w:overflowPunct w:val="0"/>
        <w:ind w:left="5670"/>
        <w:jc w:val="both"/>
        <w:textAlignment w:val="baseline"/>
        <w:sectPr w:rsidR="000E37BA" w:rsidSect="000E37BA">
          <w:headerReference w:type="first" r:id="rId15"/>
          <w:pgSz w:w="11907" w:h="16840"/>
          <w:pgMar w:top="1701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6FFA81CD" w14:textId="29411234" w:rsidR="00FB45B6" w:rsidRDefault="000E37BA">
      <w:pPr>
        <w:overflowPunct w:val="0"/>
        <w:ind w:left="5670"/>
        <w:jc w:val="both"/>
        <w:textAlignment w:val="baseline"/>
      </w:pPr>
      <w:r>
        <w:lastRenderedPageBreak/>
        <w:t xml:space="preserve">Vaisių ir daržovių bei pieno ir pieno </w:t>
      </w:r>
    </w:p>
    <w:p w14:paraId="6FFA81CE" w14:textId="77777777" w:rsidR="00FB45B6" w:rsidRDefault="000E37BA">
      <w:pPr>
        <w:overflowPunct w:val="0"/>
        <w:ind w:left="5670"/>
        <w:jc w:val="both"/>
        <w:textAlignment w:val="baseline"/>
      </w:pPr>
      <w:r>
        <w:t xml:space="preserve">produktų vartojimo skatinimo vaikų </w:t>
      </w:r>
    </w:p>
    <w:p w14:paraId="6FFA81CF" w14:textId="77777777" w:rsidR="00FB45B6" w:rsidRDefault="000E37BA">
      <w:pPr>
        <w:overflowPunct w:val="0"/>
        <w:ind w:left="5670"/>
        <w:jc w:val="both"/>
        <w:textAlignment w:val="baseline"/>
      </w:pPr>
      <w:r>
        <w:t xml:space="preserve">ugdymo įstaigose programos </w:t>
      </w:r>
    </w:p>
    <w:p w14:paraId="6FFA81D0" w14:textId="77777777" w:rsidR="00FB45B6" w:rsidRDefault="000E37BA">
      <w:pPr>
        <w:overflowPunct w:val="0"/>
        <w:ind w:left="5670"/>
        <w:jc w:val="both"/>
        <w:textAlignment w:val="baseline"/>
        <w:rPr>
          <w:lang w:eastAsia="lt-LT"/>
        </w:rPr>
      </w:pPr>
      <w:r>
        <w:t>įgyvendinimo</w:t>
      </w:r>
      <w:r>
        <w:rPr>
          <w:lang w:eastAsia="lt-LT"/>
        </w:rPr>
        <w:t xml:space="preserve"> taisyklių </w:t>
      </w:r>
    </w:p>
    <w:p w14:paraId="6FFA81D1" w14:textId="77777777" w:rsidR="00FB45B6" w:rsidRDefault="000E37BA">
      <w:pPr>
        <w:overflowPunct w:val="0"/>
        <w:ind w:left="5670"/>
        <w:jc w:val="both"/>
        <w:textAlignment w:val="baseline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 priedas</w:t>
      </w:r>
    </w:p>
    <w:p w14:paraId="6FFA81D2" w14:textId="77777777" w:rsidR="00FB45B6" w:rsidRDefault="00FB45B6">
      <w:pPr>
        <w:overflowPunct w:val="0"/>
        <w:jc w:val="center"/>
        <w:textAlignment w:val="baseline"/>
        <w:rPr>
          <w:b/>
        </w:rPr>
      </w:pPr>
    </w:p>
    <w:p w14:paraId="6FFA81D3" w14:textId="77777777" w:rsidR="00FB45B6" w:rsidRDefault="00FB45B6">
      <w:pPr>
        <w:overflowPunct w:val="0"/>
        <w:jc w:val="center"/>
        <w:textAlignment w:val="baseline"/>
        <w:rPr>
          <w:b/>
        </w:rPr>
      </w:pPr>
    </w:p>
    <w:p w14:paraId="6FFA81D4" w14:textId="77777777" w:rsidR="00FB45B6" w:rsidRDefault="000E37BA">
      <w:pPr>
        <w:overflowPunct w:val="0"/>
        <w:jc w:val="center"/>
        <w:textAlignment w:val="baseline"/>
        <w:rPr>
          <w:b/>
        </w:rPr>
      </w:pPr>
      <w:r>
        <w:rPr>
          <w:b/>
        </w:rPr>
        <w:t>PARAMOS DYDŽIAI UŽ TIEKIAMUS PRODUKTUS</w:t>
      </w:r>
      <w:r>
        <w:rPr>
          <w:b/>
          <w:vertAlign w:val="superscript"/>
        </w:rPr>
        <w:t>1</w:t>
      </w:r>
      <w:r>
        <w:rPr>
          <w:b/>
        </w:rPr>
        <w:t xml:space="preserve"> 2019–2020 MOKSLO METAIS</w:t>
      </w:r>
    </w:p>
    <w:p w14:paraId="6FFA81D5" w14:textId="77777777" w:rsidR="00FB45B6" w:rsidRDefault="00FB45B6">
      <w:pPr>
        <w:overflowPunct w:val="0"/>
        <w:jc w:val="center"/>
        <w:textAlignment w:val="baseline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5981"/>
        <w:gridCol w:w="2459"/>
      </w:tblGrid>
      <w:tr w:rsidR="00FB45B6" w14:paraId="6FFA81DA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FA81D6" w14:textId="77777777" w:rsidR="00FB45B6" w:rsidRDefault="000E37BA">
            <w:pPr>
              <w:jc w:val="center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Gaminių kategorijos</w:t>
            </w: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FA81D7" w14:textId="77777777" w:rsidR="00FB45B6" w:rsidRDefault="000E37BA">
            <w:pPr>
              <w:jc w:val="center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Gaminių skiriamosios ypatybės, sudėtis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FA81D8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Paramos dydis, be PVM, </w:t>
            </w:r>
          </w:p>
          <w:p w14:paraId="6FFA81D9" w14:textId="77777777" w:rsidR="00FB45B6" w:rsidRDefault="000E37BA">
            <w:pPr>
              <w:jc w:val="center"/>
              <w:rPr>
                <w:bCs/>
                <w:caps/>
                <w:szCs w:val="24"/>
              </w:rPr>
            </w:pPr>
            <w:proofErr w:type="spellStart"/>
            <w:r>
              <w:rPr>
                <w:bCs/>
                <w:szCs w:val="24"/>
              </w:rPr>
              <w:t>Eur</w:t>
            </w:r>
            <w:proofErr w:type="spellEnd"/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už 1 kg / l</w:t>
            </w:r>
          </w:p>
        </w:tc>
      </w:tr>
      <w:tr w:rsidR="00FB45B6" w14:paraId="6FFA81DC" w14:textId="77777777">
        <w:trPr>
          <w:trHeight w:val="60"/>
        </w:trPr>
        <w:tc>
          <w:tcPr>
            <w:tcW w:w="98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DB" w14:textId="77777777" w:rsidR="00FB45B6" w:rsidRDefault="000E37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Vaisiai ir daržovės</w:t>
            </w:r>
          </w:p>
        </w:tc>
      </w:tr>
      <w:tr w:rsidR="00FB45B6" w14:paraId="6FFA81E0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DD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DE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Obuoliai (ekologiški)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DF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1,02</w:t>
            </w:r>
          </w:p>
        </w:tc>
      </w:tr>
      <w:tr w:rsidR="00FB45B6" w14:paraId="6FFA81E4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1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2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Obuoliai (NKP)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3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0,87</w:t>
            </w:r>
          </w:p>
        </w:tc>
      </w:tr>
      <w:tr w:rsidR="00FB45B6" w14:paraId="6FFA81E8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5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6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Kriaušės (ekologiškos)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7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1,75</w:t>
            </w:r>
          </w:p>
        </w:tc>
      </w:tr>
      <w:tr w:rsidR="00FB45B6" w14:paraId="6FFA81EC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9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A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Kriaušės (NKP)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B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1,48</w:t>
            </w:r>
          </w:p>
        </w:tc>
      </w:tr>
      <w:tr w:rsidR="00FB45B6" w14:paraId="6FFA81F0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D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E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Morkos (ekologiškos)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EF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1,19</w:t>
            </w:r>
          </w:p>
        </w:tc>
      </w:tr>
      <w:tr w:rsidR="00FB45B6" w14:paraId="6FFA81F4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1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2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Morkos (NKP)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3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1,01</w:t>
            </w:r>
          </w:p>
        </w:tc>
      </w:tr>
      <w:tr w:rsidR="00FB45B6" w14:paraId="6FFA81F8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5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6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Sultys (ekologiškos)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7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1,30</w:t>
            </w:r>
          </w:p>
        </w:tc>
      </w:tr>
      <w:tr w:rsidR="00FB45B6" w14:paraId="6FFA81FC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9" w14:textId="77777777" w:rsidR="00FB45B6" w:rsidRDefault="00FB45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A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Sultys (NKP)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B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1,05</w:t>
            </w:r>
          </w:p>
        </w:tc>
      </w:tr>
      <w:tr w:rsidR="00FB45B6" w14:paraId="6FFA81FE" w14:textId="77777777">
        <w:trPr>
          <w:trHeight w:val="60"/>
        </w:trPr>
        <w:tc>
          <w:tcPr>
            <w:tcW w:w="982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1FD" w14:textId="77777777" w:rsidR="00FB45B6" w:rsidRDefault="000E37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Pieno gaminiai</w:t>
            </w:r>
          </w:p>
        </w:tc>
      </w:tr>
      <w:tr w:rsidR="00FB45B6" w14:paraId="6FFA8202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FA81FF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FA8200" w14:textId="77777777" w:rsidR="00FB45B6" w:rsidRDefault="000E37BA">
            <w:pPr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Termiškai apdorotas pienas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01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0,80</w:t>
            </w:r>
          </w:p>
        </w:tc>
      </w:tr>
      <w:tr w:rsidR="00FB45B6" w14:paraId="6FFA8206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FA8203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FA8204" w14:textId="77777777" w:rsidR="00FB45B6" w:rsidRDefault="000E37BA">
            <w:pPr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Kefyras, geriamasis jogurtas (be priedų)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05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0,66</w:t>
            </w:r>
          </w:p>
        </w:tc>
      </w:tr>
      <w:tr w:rsidR="00FB45B6" w14:paraId="6FFA820A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207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8208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Jogurtas (be priedų), išfasuotas po 125 g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09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2,15</w:t>
            </w:r>
          </w:p>
        </w:tc>
      </w:tr>
      <w:tr w:rsidR="00FB45B6" w14:paraId="6FFA8213" w14:textId="77777777">
        <w:trPr>
          <w:trHeight w:val="60"/>
        </w:trPr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820B" w14:textId="77777777" w:rsidR="00FB45B6" w:rsidRDefault="000E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Reglamento (ES) 2016/791</w:t>
            </w:r>
          </w:p>
          <w:p w14:paraId="6FFA820C" w14:textId="77777777" w:rsidR="00FB45B6" w:rsidRDefault="000E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 priedo</w:t>
            </w:r>
          </w:p>
          <w:p w14:paraId="6FFA820D" w14:textId="77777777" w:rsidR="00FB45B6" w:rsidRDefault="000E37BA">
            <w:pPr>
              <w:jc w:val="center"/>
              <w:rPr>
                <w:bCs/>
                <w:caps/>
                <w:szCs w:val="24"/>
              </w:rPr>
            </w:pPr>
            <w:r>
              <w:rPr>
                <w:bCs/>
                <w:sz w:val="20"/>
              </w:rPr>
              <w:t>I kategorija</w:t>
            </w: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820E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Jogurtas su priedais, išfasuotas po 125 g:</w:t>
            </w:r>
          </w:p>
          <w:p w14:paraId="6FFA820F" w14:textId="77777777" w:rsidR="00FB45B6" w:rsidRDefault="000E37BA">
            <w:pPr>
              <w:ind w:firstLine="54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Lietuvos Respublikos valstybės </w:t>
            </w:r>
            <w:r>
              <w:rPr>
                <w:bCs/>
                <w:szCs w:val="24"/>
              </w:rPr>
              <w:t>biudžeto lėšos</w:t>
            </w:r>
          </w:p>
          <w:p w14:paraId="6FFA8210" w14:textId="77777777" w:rsidR="00FB45B6" w:rsidRDefault="000E37BA">
            <w:pPr>
              <w:ind w:firstLine="546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Europos Sąjungos parama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11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1,91</w:t>
            </w:r>
          </w:p>
          <w:p w14:paraId="6FFA8212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0,24</w:t>
            </w:r>
          </w:p>
        </w:tc>
      </w:tr>
      <w:tr w:rsidR="00FB45B6" w14:paraId="6FFA8217" w14:textId="77777777">
        <w:trPr>
          <w:trHeight w:val="60"/>
        </w:trPr>
        <w:tc>
          <w:tcPr>
            <w:tcW w:w="0" w:type="auto"/>
            <w:vAlign w:val="center"/>
            <w:hideMark/>
          </w:tcPr>
          <w:p w14:paraId="6FFA8214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FA8215" w14:textId="77777777" w:rsidR="00FB45B6" w:rsidRDefault="000E37BA">
            <w:pPr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Švieži sūriai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16" w14:textId="77777777" w:rsidR="00FB45B6" w:rsidRDefault="000E37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4,63</w:t>
            </w:r>
          </w:p>
        </w:tc>
      </w:tr>
      <w:tr w:rsidR="00FB45B6" w14:paraId="6FFA821B" w14:textId="77777777">
        <w:trPr>
          <w:trHeight w:val="60"/>
        </w:trPr>
        <w:tc>
          <w:tcPr>
            <w:tcW w:w="0" w:type="auto"/>
            <w:vAlign w:val="center"/>
          </w:tcPr>
          <w:p w14:paraId="6FFA8218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8219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Varškė (be pridėtinio cukraus)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1A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3,58</w:t>
            </w:r>
          </w:p>
        </w:tc>
      </w:tr>
      <w:tr w:rsidR="00FB45B6" w14:paraId="6FFA821F" w14:textId="77777777">
        <w:trPr>
          <w:trHeight w:val="60"/>
        </w:trPr>
        <w:tc>
          <w:tcPr>
            <w:tcW w:w="0" w:type="auto"/>
            <w:vAlign w:val="center"/>
          </w:tcPr>
          <w:p w14:paraId="6FFA821C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821D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Brandinti </w:t>
            </w:r>
            <w:proofErr w:type="spellStart"/>
            <w:r>
              <w:rPr>
                <w:bCs/>
                <w:szCs w:val="24"/>
              </w:rPr>
              <w:t>puskiečiai</w:t>
            </w:r>
            <w:proofErr w:type="spellEnd"/>
            <w:r>
              <w:rPr>
                <w:bCs/>
                <w:szCs w:val="24"/>
              </w:rPr>
              <w:t xml:space="preserve"> sūriai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1E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3,76</w:t>
            </w:r>
          </w:p>
        </w:tc>
      </w:tr>
      <w:tr w:rsidR="00FB45B6" w14:paraId="6FFA8223" w14:textId="77777777">
        <w:trPr>
          <w:trHeight w:val="60"/>
        </w:trPr>
        <w:tc>
          <w:tcPr>
            <w:tcW w:w="0" w:type="auto"/>
            <w:vAlign w:val="center"/>
          </w:tcPr>
          <w:p w14:paraId="6FFA8220" w14:textId="77777777" w:rsidR="00FB45B6" w:rsidRDefault="00FB45B6">
            <w:pPr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59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8221" w14:textId="77777777" w:rsidR="00FB45B6" w:rsidRDefault="000E37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Ilgai brandinti kietieji sūriai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FA8222" w14:textId="77777777" w:rsidR="00FB45B6" w:rsidRDefault="000E37BA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8,50</w:t>
            </w:r>
          </w:p>
        </w:tc>
      </w:tr>
    </w:tbl>
    <w:p w14:paraId="6FFA8224" w14:textId="77777777" w:rsidR="00FB45B6" w:rsidRDefault="00FB45B6">
      <w:pPr>
        <w:rPr>
          <w:sz w:val="8"/>
          <w:szCs w:val="8"/>
        </w:rPr>
      </w:pPr>
    </w:p>
    <w:p w14:paraId="6FFA8225" w14:textId="77777777" w:rsidR="00FB45B6" w:rsidRDefault="000E37BA">
      <w:pPr>
        <w:overflowPunct w:val="0"/>
        <w:jc w:val="both"/>
        <w:textAlignment w:val="baseline"/>
        <w:rPr>
          <w:rFonts w:ascii="Tahoma" w:hAnsi="Tahoma" w:cs="Tahoma"/>
          <w:lang w:eastAsia="lt-LT"/>
        </w:rPr>
      </w:pPr>
      <w:r>
        <w:rPr>
          <w:rFonts w:ascii="Tahoma" w:hAnsi="Tahoma" w:cs="Tahoma"/>
          <w:vertAlign w:val="superscript"/>
          <w:lang w:eastAsia="lt-LT"/>
        </w:rPr>
        <w:t>1</w:t>
      </w:r>
      <w:r>
        <w:t xml:space="preserve">Tiekiami produktai turi atitikti Vaisių ir daržovių bei pieno ir pieno </w:t>
      </w:r>
      <w:r>
        <w:t>produktų vartojimo skatinimo vaikų ugdymo įstaigose programos 2017–2023 mokslo metų strategijos, patvirtintos Lietuvos Respublikos žemės ūkio ministro 2017 m. liepos 25 d. įsakymu Nr. 3D-489 „Dėl Vaisių ir daržovių bei pieno ir pieno produktų vartojimo ska</w:t>
      </w:r>
      <w:r>
        <w:t>tinimo vaikų ugdymo įstaigose programos 2017–2023 mokslo metų strategijos patvirtinimo“, 22–24 punktuose nustatytus reikalavimus.</w:t>
      </w:r>
    </w:p>
    <w:p w14:paraId="6FFA8226" w14:textId="77777777" w:rsidR="00FB45B6" w:rsidRDefault="00FB45B6">
      <w:pPr>
        <w:rPr>
          <w:sz w:val="8"/>
          <w:szCs w:val="8"/>
        </w:rPr>
      </w:pPr>
    </w:p>
    <w:p w14:paraId="6FFA822B" w14:textId="31641B0F" w:rsidR="00FB45B6" w:rsidRDefault="000E37BA" w:rsidP="000E37BA">
      <w:pPr>
        <w:overflowPunct w:val="0"/>
        <w:jc w:val="center"/>
        <w:textAlignment w:val="baseline"/>
      </w:pPr>
      <w:r>
        <w:rPr>
          <w:rFonts w:ascii="Tahoma" w:hAnsi="Tahoma" w:cs="Tahoma"/>
          <w:lang w:eastAsia="lt-LT"/>
        </w:rPr>
        <w:t>_________________</w:t>
      </w:r>
    </w:p>
    <w:p w14:paraId="6FFA822C" w14:textId="77777777" w:rsidR="00FB45B6" w:rsidRDefault="000E37BA">
      <w:pPr>
        <w:overflowPunct w:val="0"/>
        <w:jc w:val="both"/>
        <w:textAlignment w:val="baseline"/>
      </w:pPr>
    </w:p>
    <w:sectPr w:rsidR="00FB45B6" w:rsidSect="000E37BA">
      <w:headerReference w:type="first" r:id="rId16"/>
      <w:pgSz w:w="11907" w:h="16840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8231" w14:textId="77777777" w:rsidR="00FB45B6" w:rsidRDefault="000E37B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FFA8232" w14:textId="77777777" w:rsidR="00FB45B6" w:rsidRDefault="000E37B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235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236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238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822F" w14:textId="77777777" w:rsidR="00FB45B6" w:rsidRDefault="000E37B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FFA8230" w14:textId="77777777" w:rsidR="00FB45B6" w:rsidRDefault="000E37B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233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76377"/>
      <w:docPartObj>
        <w:docPartGallery w:val="Page Numbers (Top of Page)"/>
        <w:docPartUnique/>
      </w:docPartObj>
    </w:sdtPr>
    <w:sdtContent>
      <w:p w14:paraId="399D2B77" w14:textId="5A7D6176" w:rsidR="000E37BA" w:rsidRDefault="000E37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FA8234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237" w14:textId="77777777" w:rsidR="00FB45B6" w:rsidRDefault="00FB45B6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5851"/>
      <w:docPartObj>
        <w:docPartGallery w:val="Page Numbers (Top of Page)"/>
        <w:docPartUnique/>
      </w:docPartObj>
    </w:sdtPr>
    <w:sdtContent>
      <w:p w14:paraId="2E4C5827" w14:textId="53E4FDD0" w:rsidR="000E37BA" w:rsidRDefault="000E37BA">
        <w:pPr>
          <w:pStyle w:val="Antrats"/>
          <w:jc w:val="center"/>
        </w:pPr>
      </w:p>
      <w:bookmarkStart w:id="0" w:name="_GoBack" w:displacedByCustomXml="next"/>
      <w:bookmarkEnd w:id="0" w:displacedByCustomXml="next"/>
    </w:sdtContent>
  </w:sdt>
  <w:p w14:paraId="39CAA5ED" w14:textId="77777777" w:rsidR="000E37BA" w:rsidRDefault="000E37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679E" w14:textId="1F6DD730" w:rsidR="000E37BA" w:rsidRDefault="000E37BA">
    <w:pPr>
      <w:pStyle w:val="Antrats"/>
      <w:jc w:val="center"/>
    </w:pPr>
  </w:p>
  <w:p w14:paraId="196D11F0" w14:textId="77777777" w:rsidR="000E37BA" w:rsidRDefault="000E37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F"/>
    <w:rsid w:val="000E37BA"/>
    <w:rsid w:val="000E5C0F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FA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37B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37B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7B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37B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37B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7B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2"/>
    <w:rsid w:val="005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6F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6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2019-08-07T06:38:00Z</dcterms:created>
  <dcterms:modified xsi:type="dcterms:W3CDTF">2019-08-07T06:44:00Z</dcterms:modified>
  <revision>1</revision>
</coreProperties>
</file>