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F9EB" w14:textId="192F99EF" w:rsidR="00DF49B6" w:rsidRDefault="00010037" w:rsidP="00902738">
      <w:pPr>
        <w:tabs>
          <w:tab w:val="center" w:pos="4153"/>
          <w:tab w:val="right" w:pos="8306"/>
        </w:tabs>
        <w:jc w:val="center"/>
        <w:rPr>
          <w:b/>
          <w:szCs w:val="24"/>
        </w:rPr>
      </w:pPr>
      <w:r>
        <w:rPr>
          <w:b/>
          <w:szCs w:val="24"/>
        </w:rPr>
        <w:t xml:space="preserve">LIETUVOS RESPUBLIKOS SVEIKATOS </w:t>
      </w:r>
      <w:bookmarkStart w:id="0" w:name="_GoBack"/>
      <w:r>
        <w:rPr>
          <w:b/>
          <w:szCs w:val="24"/>
        </w:rPr>
        <w:t>APSAUGOS MINISTRAS</w:t>
      </w:r>
      <w:bookmarkEnd w:id="0"/>
    </w:p>
    <w:p w14:paraId="450FF9EC" w14:textId="77777777" w:rsidR="00DF49B6" w:rsidRDefault="00010037">
      <w:pPr>
        <w:tabs>
          <w:tab w:val="center" w:pos="4153"/>
          <w:tab w:val="right" w:pos="8306"/>
        </w:tabs>
        <w:jc w:val="center"/>
        <w:rPr>
          <w:b/>
          <w:szCs w:val="24"/>
        </w:rPr>
      </w:pPr>
      <w:r>
        <w:rPr>
          <w:b/>
          <w:szCs w:val="24"/>
        </w:rPr>
        <w:t>LIETUVOS RESPUBLIKOS SOCIALINĖS APSAUGOS IR DARBO MINISTRAS</w:t>
      </w:r>
    </w:p>
    <w:p w14:paraId="450FF9ED" w14:textId="77777777" w:rsidR="00DF49B6" w:rsidRDefault="00DF49B6">
      <w:pPr>
        <w:tabs>
          <w:tab w:val="center" w:pos="4153"/>
          <w:tab w:val="right" w:pos="8306"/>
        </w:tabs>
        <w:jc w:val="center"/>
        <w:rPr>
          <w:b/>
          <w:szCs w:val="24"/>
        </w:rPr>
      </w:pPr>
    </w:p>
    <w:p w14:paraId="450FF9EE" w14:textId="77777777" w:rsidR="00DF49B6" w:rsidRDefault="00010037">
      <w:pPr>
        <w:tabs>
          <w:tab w:val="center" w:pos="4153"/>
          <w:tab w:val="right" w:pos="8306"/>
        </w:tabs>
        <w:jc w:val="center"/>
        <w:rPr>
          <w:b/>
          <w:szCs w:val="24"/>
        </w:rPr>
      </w:pPr>
      <w:r>
        <w:rPr>
          <w:b/>
          <w:szCs w:val="24"/>
        </w:rPr>
        <w:t>ĮSAKYMAS</w:t>
      </w:r>
    </w:p>
    <w:p w14:paraId="450FF9EF" w14:textId="77777777" w:rsidR="00DF49B6" w:rsidRDefault="00010037">
      <w:pPr>
        <w:tabs>
          <w:tab w:val="center" w:pos="4153"/>
          <w:tab w:val="right" w:pos="8306"/>
        </w:tabs>
        <w:jc w:val="center"/>
        <w:rPr>
          <w:b/>
          <w:szCs w:val="24"/>
        </w:rPr>
      </w:pPr>
      <w:r>
        <w:rPr>
          <w:b/>
          <w:szCs w:val="24"/>
        </w:rPr>
        <w:t>DĖL LIETUVOS RESPUBLIKOS SVEIKATOS APSAUGOS MINISTRO IR</w:t>
      </w:r>
    </w:p>
    <w:p w14:paraId="450FF9F0" w14:textId="77777777" w:rsidR="00DF49B6" w:rsidRDefault="00010037">
      <w:pPr>
        <w:tabs>
          <w:tab w:val="center" w:pos="4153"/>
          <w:tab w:val="right" w:pos="8306"/>
        </w:tabs>
        <w:jc w:val="center"/>
        <w:rPr>
          <w:b/>
          <w:szCs w:val="24"/>
        </w:rPr>
      </w:pPr>
      <w:r>
        <w:rPr>
          <w:b/>
          <w:szCs w:val="24"/>
        </w:rPr>
        <w:t>LIETUVOS RESPUBLIKOS SOCIALINĖS APSAUGOS IR DARBO MINISTRO</w:t>
      </w:r>
    </w:p>
    <w:p w14:paraId="450FF9F1" w14:textId="77777777" w:rsidR="00DF49B6" w:rsidRDefault="00010037">
      <w:pPr>
        <w:jc w:val="center"/>
        <w:rPr>
          <w:b/>
          <w:szCs w:val="24"/>
        </w:rPr>
      </w:pPr>
      <w:r>
        <w:rPr>
          <w:b/>
          <w:szCs w:val="24"/>
        </w:rPr>
        <w:t>2001 M. LIEPOS 24 D. ĮSAKYMO NR. 404/96 „DĖL MEDICININIŲ KONTRAINDIKACIJŲ, KURIOMS ESANT ASMENYS NEGALI BŪTI ĮVAIKINTOJAI, SĄRAŠO PATVIRTINIMO“ PAKEITIMO</w:t>
      </w:r>
    </w:p>
    <w:p w14:paraId="450FF9F2" w14:textId="77777777" w:rsidR="00DF49B6" w:rsidRDefault="00DF49B6">
      <w:pPr>
        <w:jc w:val="center"/>
        <w:rPr>
          <w:szCs w:val="24"/>
        </w:rPr>
      </w:pPr>
    </w:p>
    <w:p w14:paraId="450FF9F3" w14:textId="77777777" w:rsidR="00DF49B6" w:rsidRDefault="00010037">
      <w:pPr>
        <w:jc w:val="center"/>
        <w:rPr>
          <w:szCs w:val="24"/>
        </w:rPr>
      </w:pPr>
      <w:r>
        <w:rPr>
          <w:szCs w:val="24"/>
        </w:rPr>
        <w:t>2015 m. kovo 24 d. Nr. V-402/A1-152</w:t>
      </w:r>
    </w:p>
    <w:p w14:paraId="450FF9F4" w14:textId="77777777" w:rsidR="00DF49B6" w:rsidRDefault="00010037">
      <w:pPr>
        <w:jc w:val="center"/>
        <w:rPr>
          <w:szCs w:val="24"/>
        </w:rPr>
      </w:pPr>
      <w:r>
        <w:rPr>
          <w:szCs w:val="24"/>
        </w:rPr>
        <w:t>Vilnius</w:t>
      </w:r>
    </w:p>
    <w:p w14:paraId="450FF9F5" w14:textId="77777777" w:rsidR="00DF49B6" w:rsidRDefault="00DF49B6">
      <w:pPr>
        <w:jc w:val="center"/>
        <w:rPr>
          <w:szCs w:val="24"/>
        </w:rPr>
      </w:pPr>
    </w:p>
    <w:p w14:paraId="5EEB861F" w14:textId="77777777" w:rsidR="00010037" w:rsidRDefault="00010037">
      <w:pPr>
        <w:jc w:val="center"/>
        <w:rPr>
          <w:szCs w:val="24"/>
        </w:rPr>
      </w:pPr>
    </w:p>
    <w:p w14:paraId="450FF9F6" w14:textId="77777777" w:rsidR="00DF49B6" w:rsidRDefault="00902738">
      <w:pPr>
        <w:ind w:firstLine="720"/>
        <w:jc w:val="both"/>
        <w:rPr>
          <w:szCs w:val="24"/>
        </w:rPr>
      </w:pPr>
      <w:r w:rsidR="00010037">
        <w:rPr>
          <w:szCs w:val="24"/>
        </w:rPr>
        <w:t>1</w:t>
      </w:r>
      <w:r w:rsidR="00010037">
        <w:rPr>
          <w:szCs w:val="24"/>
        </w:rPr>
        <w:t>. P a k e i č i a m e Medicininių kontraindikacijų, kurioms esant asmenys negali būti įvaikintojai, sąrašą, patvirtintą Lietuvos Respublikos sveikatos apsaugos ministro ir Lietuvos Respublikos socialinės apsaugos ir darbo ministro 2001 m. liepos 24 d. įsakymu Nr. 404/96 „Dėl Medicininių kontraindikacijų, kurioms esant asmenys negali būti įvaikintojai, sąrašo patvirtinimo“ ir jį išdėstome nauja redakcija (pridedama).</w:t>
      </w:r>
    </w:p>
    <w:p w14:paraId="450FF9F9" w14:textId="7043DCBD" w:rsidR="00DF49B6" w:rsidRDefault="00902738" w:rsidP="00010037">
      <w:pPr>
        <w:ind w:firstLine="720"/>
        <w:jc w:val="both"/>
        <w:rPr>
          <w:szCs w:val="24"/>
        </w:rPr>
      </w:pPr>
      <w:r w:rsidR="00010037">
        <w:rPr>
          <w:szCs w:val="24"/>
        </w:rPr>
        <w:t>2</w:t>
      </w:r>
      <w:r w:rsidR="00010037">
        <w:rPr>
          <w:szCs w:val="24"/>
        </w:rPr>
        <w:t>. P a v e d a m e įsakymo vykdymą kontroliuoti viceministrams pagal veiklos sritį.</w:t>
      </w:r>
    </w:p>
    <w:p w14:paraId="07652EB9" w14:textId="77777777" w:rsidR="00010037" w:rsidRDefault="00010037">
      <w:pPr>
        <w:tabs>
          <w:tab w:val="left" w:pos="6804"/>
        </w:tabs>
      </w:pPr>
    </w:p>
    <w:p w14:paraId="49C46216" w14:textId="77777777" w:rsidR="00010037" w:rsidRDefault="00010037">
      <w:pPr>
        <w:tabs>
          <w:tab w:val="left" w:pos="6804"/>
        </w:tabs>
      </w:pPr>
    </w:p>
    <w:p w14:paraId="0DF3BDA9" w14:textId="77777777" w:rsidR="00010037" w:rsidRDefault="00010037">
      <w:pPr>
        <w:tabs>
          <w:tab w:val="left" w:pos="6804"/>
        </w:tabs>
      </w:pPr>
    </w:p>
    <w:p w14:paraId="450FF9FA" w14:textId="4FBE11F9" w:rsidR="00DF49B6" w:rsidRDefault="00010037">
      <w:pPr>
        <w:tabs>
          <w:tab w:val="left" w:pos="6804"/>
        </w:tabs>
        <w:rPr>
          <w:szCs w:val="24"/>
        </w:rPr>
      </w:pPr>
      <w:r>
        <w:rPr>
          <w:szCs w:val="24"/>
        </w:rPr>
        <w:t xml:space="preserve">Sveikatos apsaugos ministrė </w:t>
      </w:r>
      <w:r>
        <w:rPr>
          <w:szCs w:val="24"/>
        </w:rPr>
        <w:tab/>
        <w:t>Rimantė Šalaševičiūtė</w:t>
      </w:r>
    </w:p>
    <w:p w14:paraId="450FF9FB" w14:textId="77777777" w:rsidR="00DF49B6" w:rsidRDefault="00DF49B6">
      <w:pPr>
        <w:jc w:val="both"/>
        <w:rPr>
          <w:szCs w:val="24"/>
        </w:rPr>
      </w:pPr>
    </w:p>
    <w:p w14:paraId="450FFA0C" w14:textId="5ABFC3CD" w:rsidR="00DF49B6" w:rsidRDefault="00010037" w:rsidP="00010037">
      <w:pPr>
        <w:tabs>
          <w:tab w:val="left" w:pos="6946"/>
        </w:tabs>
        <w:rPr>
          <w:szCs w:val="24"/>
        </w:rPr>
      </w:pPr>
      <w:r>
        <w:rPr>
          <w:szCs w:val="24"/>
        </w:rPr>
        <w:t xml:space="preserve">Socialinės apsaugos ir darbo ministrė </w:t>
      </w:r>
      <w:r>
        <w:rPr>
          <w:szCs w:val="24"/>
        </w:rPr>
        <w:tab/>
      </w:r>
      <w:proofErr w:type="spellStart"/>
      <w:r>
        <w:rPr>
          <w:szCs w:val="24"/>
        </w:rPr>
        <w:t>Algimanta</w:t>
      </w:r>
      <w:proofErr w:type="spellEnd"/>
      <w:r>
        <w:rPr>
          <w:szCs w:val="24"/>
        </w:rPr>
        <w:t xml:space="preserve"> </w:t>
      </w:r>
      <w:proofErr w:type="spellStart"/>
      <w:r>
        <w:rPr>
          <w:szCs w:val="24"/>
        </w:rPr>
        <w:t>Pabedinskienė</w:t>
      </w:r>
      <w:proofErr w:type="spellEnd"/>
    </w:p>
    <w:p w14:paraId="47DB9FA5" w14:textId="7C7D631D" w:rsidR="00010037" w:rsidRDefault="00010037">
      <w:r>
        <w:br w:type="page"/>
      </w:r>
    </w:p>
    <w:p w14:paraId="450FFA0D" w14:textId="45CC40B8" w:rsidR="00DF49B6" w:rsidRDefault="00010037">
      <w:pPr>
        <w:ind w:firstLine="4820"/>
        <w:rPr>
          <w:bCs/>
          <w:caps/>
          <w:color w:val="000000"/>
          <w:szCs w:val="24"/>
        </w:rPr>
      </w:pPr>
      <w:r>
        <w:rPr>
          <w:bCs/>
          <w:caps/>
          <w:color w:val="000000"/>
          <w:szCs w:val="24"/>
        </w:rPr>
        <w:lastRenderedPageBreak/>
        <w:t>PATVIRTINTA</w:t>
      </w:r>
    </w:p>
    <w:p w14:paraId="450FFA0E" w14:textId="77777777" w:rsidR="00DF49B6" w:rsidRDefault="00010037">
      <w:pPr>
        <w:ind w:firstLine="4820"/>
        <w:rPr>
          <w:bCs/>
          <w:color w:val="000000"/>
          <w:szCs w:val="24"/>
        </w:rPr>
      </w:pPr>
      <w:r>
        <w:rPr>
          <w:bCs/>
          <w:caps/>
          <w:color w:val="000000"/>
          <w:szCs w:val="24"/>
        </w:rPr>
        <w:t>L</w:t>
      </w:r>
      <w:r>
        <w:rPr>
          <w:bCs/>
          <w:color w:val="000000"/>
          <w:szCs w:val="24"/>
        </w:rPr>
        <w:t xml:space="preserve">ietuvos Respublikos sveikatos apsaugos </w:t>
      </w:r>
    </w:p>
    <w:p w14:paraId="450FFA0F" w14:textId="77777777" w:rsidR="00DF49B6" w:rsidRDefault="00010037">
      <w:pPr>
        <w:ind w:firstLine="4820"/>
        <w:rPr>
          <w:bCs/>
          <w:color w:val="000000"/>
          <w:szCs w:val="24"/>
        </w:rPr>
      </w:pPr>
      <w:r>
        <w:rPr>
          <w:bCs/>
          <w:color w:val="000000"/>
          <w:szCs w:val="24"/>
        </w:rPr>
        <w:t xml:space="preserve">ministro ir Lietuvos Respublikos socialinės </w:t>
      </w:r>
    </w:p>
    <w:p w14:paraId="450FFA10" w14:textId="77777777" w:rsidR="00DF49B6" w:rsidRDefault="00010037">
      <w:pPr>
        <w:ind w:firstLine="4820"/>
        <w:rPr>
          <w:bCs/>
          <w:color w:val="000000"/>
          <w:szCs w:val="24"/>
        </w:rPr>
      </w:pPr>
      <w:r>
        <w:rPr>
          <w:bCs/>
          <w:color w:val="000000"/>
          <w:szCs w:val="24"/>
        </w:rPr>
        <w:t>apsaugos ir darbo ministro 2001 m. liepos 24 d.</w:t>
      </w:r>
    </w:p>
    <w:p w14:paraId="450FFA11" w14:textId="77777777" w:rsidR="00DF49B6" w:rsidRDefault="00010037">
      <w:pPr>
        <w:ind w:firstLine="4820"/>
        <w:rPr>
          <w:bCs/>
          <w:color w:val="000000"/>
          <w:szCs w:val="24"/>
        </w:rPr>
      </w:pPr>
      <w:r>
        <w:rPr>
          <w:bCs/>
          <w:color w:val="000000"/>
          <w:szCs w:val="24"/>
        </w:rPr>
        <w:t>įsakymu Nr. 404/96</w:t>
      </w:r>
    </w:p>
    <w:p w14:paraId="450FFA12" w14:textId="77777777" w:rsidR="00DF49B6" w:rsidRDefault="00010037">
      <w:pPr>
        <w:ind w:firstLine="4880"/>
        <w:rPr>
          <w:bCs/>
          <w:color w:val="000000"/>
          <w:szCs w:val="24"/>
        </w:rPr>
      </w:pPr>
      <w:r>
        <w:rPr>
          <w:bCs/>
          <w:color w:val="000000"/>
          <w:szCs w:val="24"/>
        </w:rPr>
        <w:t xml:space="preserve">(Lietuvos Respublikos sveikatos apsaugos </w:t>
      </w:r>
    </w:p>
    <w:p w14:paraId="450FFA13" w14:textId="77777777" w:rsidR="00DF49B6" w:rsidRDefault="00010037">
      <w:pPr>
        <w:ind w:firstLine="4820"/>
        <w:rPr>
          <w:bCs/>
          <w:color w:val="000000"/>
          <w:szCs w:val="24"/>
        </w:rPr>
      </w:pPr>
      <w:r>
        <w:rPr>
          <w:bCs/>
          <w:color w:val="000000"/>
          <w:szCs w:val="24"/>
        </w:rPr>
        <w:t xml:space="preserve">ministro ir Lietuvos Respublikos socialinės </w:t>
      </w:r>
    </w:p>
    <w:p w14:paraId="450FFA14" w14:textId="77777777" w:rsidR="00DF49B6" w:rsidRDefault="00010037">
      <w:pPr>
        <w:ind w:firstLine="4820"/>
        <w:rPr>
          <w:bCs/>
          <w:color w:val="000000"/>
          <w:szCs w:val="24"/>
        </w:rPr>
      </w:pPr>
      <w:r>
        <w:rPr>
          <w:bCs/>
          <w:color w:val="000000"/>
          <w:szCs w:val="24"/>
        </w:rPr>
        <w:t xml:space="preserve">apsaugos ir darbo ministro 2015 m. kovo 24 d.    </w:t>
      </w:r>
    </w:p>
    <w:p w14:paraId="450FFA15" w14:textId="77777777" w:rsidR="00DF49B6" w:rsidRDefault="00010037">
      <w:pPr>
        <w:ind w:firstLine="4820"/>
        <w:rPr>
          <w:bCs/>
          <w:caps/>
          <w:color w:val="000000"/>
          <w:szCs w:val="24"/>
        </w:rPr>
      </w:pPr>
      <w:r>
        <w:rPr>
          <w:bCs/>
          <w:color w:val="000000"/>
          <w:szCs w:val="24"/>
        </w:rPr>
        <w:t>įsakymo Nr. V-402/A1-152 redakcija)</w:t>
      </w:r>
    </w:p>
    <w:p w14:paraId="450FFA16" w14:textId="77777777" w:rsidR="00DF49B6" w:rsidRDefault="00DF49B6">
      <w:pPr>
        <w:jc w:val="center"/>
        <w:rPr>
          <w:b/>
          <w:bCs/>
          <w:caps/>
          <w:color w:val="000000"/>
          <w:szCs w:val="24"/>
        </w:rPr>
      </w:pPr>
    </w:p>
    <w:p w14:paraId="450FFA17" w14:textId="77777777" w:rsidR="00DF49B6" w:rsidRDefault="00902738">
      <w:pPr>
        <w:jc w:val="center"/>
        <w:rPr>
          <w:b/>
          <w:bCs/>
          <w:caps/>
          <w:color w:val="000000"/>
          <w:szCs w:val="24"/>
        </w:rPr>
      </w:pPr>
      <w:r w:rsidR="00010037">
        <w:rPr>
          <w:b/>
          <w:bCs/>
          <w:caps/>
          <w:color w:val="000000"/>
          <w:szCs w:val="24"/>
        </w:rPr>
        <w:t xml:space="preserve">MEDICININIŲ KONTRAINDIKACIJŲ, KURIOMS ESANT ASMENYS NEGALI BŪTI ĮVAIKINTOJAI, SĄRAŠAS  </w:t>
      </w:r>
    </w:p>
    <w:p w14:paraId="450FFA18" w14:textId="30605526" w:rsidR="00DF49B6" w:rsidRDefault="00DF49B6">
      <w:pPr>
        <w:jc w:val="center"/>
        <w:rPr>
          <w:b/>
          <w:bCs/>
          <w:caps/>
          <w:color w:val="000000"/>
          <w:szCs w:val="24"/>
        </w:rPr>
      </w:pPr>
    </w:p>
    <w:p w14:paraId="450FFA19" w14:textId="0E0CF529" w:rsidR="00DF49B6" w:rsidRDefault="00010037">
      <w:pPr>
        <w:ind w:firstLine="720"/>
        <w:rPr>
          <w:rFonts w:ascii="TimesLT" w:hAnsi="TimesLT" w:cs="TimesLT"/>
          <w:b/>
          <w:bCs/>
          <w:caps/>
          <w:szCs w:val="24"/>
          <w:lang w:val="en-US" w:eastAsia="lt-LT"/>
        </w:rPr>
      </w:pPr>
      <w:proofErr w:type="spellStart"/>
      <w:r>
        <w:rPr>
          <w:bCs/>
          <w:szCs w:val="24"/>
          <w:lang w:val="en-US"/>
        </w:rPr>
        <w:t>Medicininių</w:t>
      </w:r>
      <w:proofErr w:type="spellEnd"/>
      <w:r>
        <w:rPr>
          <w:bCs/>
          <w:szCs w:val="24"/>
          <w:lang w:val="en-US"/>
        </w:rPr>
        <w:t xml:space="preserve"> </w:t>
      </w:r>
      <w:proofErr w:type="spellStart"/>
      <w:r>
        <w:rPr>
          <w:bCs/>
          <w:szCs w:val="24"/>
          <w:lang w:val="en-US"/>
        </w:rPr>
        <w:t>kontraindikacijų</w:t>
      </w:r>
      <w:proofErr w:type="spellEnd"/>
      <w:r>
        <w:rPr>
          <w:bCs/>
          <w:szCs w:val="24"/>
          <w:lang w:val="en-US"/>
        </w:rPr>
        <w:t xml:space="preserve">, </w:t>
      </w:r>
      <w:proofErr w:type="spellStart"/>
      <w:r>
        <w:rPr>
          <w:bCs/>
          <w:szCs w:val="24"/>
          <w:lang w:val="en-US"/>
        </w:rPr>
        <w:t>kurioms</w:t>
      </w:r>
      <w:proofErr w:type="spellEnd"/>
      <w:r>
        <w:rPr>
          <w:bCs/>
          <w:szCs w:val="24"/>
          <w:lang w:val="en-US"/>
        </w:rPr>
        <w:t xml:space="preserve"> </w:t>
      </w:r>
      <w:proofErr w:type="spellStart"/>
      <w:r>
        <w:rPr>
          <w:bCs/>
          <w:szCs w:val="24"/>
          <w:lang w:val="en-US"/>
        </w:rPr>
        <w:t>esant</w:t>
      </w:r>
      <w:proofErr w:type="spellEnd"/>
      <w:r>
        <w:rPr>
          <w:bCs/>
          <w:szCs w:val="24"/>
          <w:lang w:val="en-US"/>
        </w:rPr>
        <w:t xml:space="preserve"> asmenys negali būti įvaikintojai, sąrašas </w:t>
      </w:r>
      <w:r>
        <w:rPr>
          <w:bCs/>
          <w:szCs w:val="24"/>
          <w:lang w:eastAsia="lt-LT"/>
        </w:rPr>
        <w:t xml:space="preserve">pagal </w:t>
      </w:r>
      <w:r>
        <w:rPr>
          <w:bCs/>
          <w:szCs w:val="24"/>
          <w:lang w:val="en-US" w:eastAsia="lt-LT"/>
        </w:rPr>
        <w:t xml:space="preserve">Sisteminio ligų sąrašo TLK-10-AM (Tarptautinė statistinė ligų ir sveikatos sutrikimų klasifikacija, dešimtasis pataisytas </w:t>
      </w:r>
      <w:proofErr w:type="spellStart"/>
      <w:r>
        <w:rPr>
          <w:bCs/>
          <w:szCs w:val="24"/>
          <w:lang w:val="en-US" w:eastAsia="lt-LT"/>
        </w:rPr>
        <w:t>ir</w:t>
      </w:r>
      <w:proofErr w:type="spellEnd"/>
      <w:r>
        <w:rPr>
          <w:bCs/>
          <w:szCs w:val="24"/>
          <w:lang w:val="en-US" w:eastAsia="lt-LT"/>
        </w:rPr>
        <w:t xml:space="preserve"> </w:t>
      </w:r>
      <w:proofErr w:type="spellStart"/>
      <w:r>
        <w:rPr>
          <w:bCs/>
          <w:szCs w:val="24"/>
          <w:lang w:val="en-US" w:eastAsia="lt-LT"/>
        </w:rPr>
        <w:t>papildytas</w:t>
      </w:r>
      <w:proofErr w:type="spellEnd"/>
      <w:r>
        <w:rPr>
          <w:bCs/>
          <w:szCs w:val="24"/>
          <w:lang w:val="en-US" w:eastAsia="lt-LT"/>
        </w:rPr>
        <w:t xml:space="preserve"> </w:t>
      </w:r>
      <w:proofErr w:type="spellStart"/>
      <w:r>
        <w:rPr>
          <w:bCs/>
          <w:szCs w:val="24"/>
          <w:lang w:val="en-US" w:eastAsia="lt-LT"/>
        </w:rPr>
        <w:t>leidimas</w:t>
      </w:r>
      <w:proofErr w:type="spellEnd"/>
      <w:r>
        <w:rPr>
          <w:bCs/>
          <w:szCs w:val="24"/>
          <w:lang w:val="en-US" w:eastAsia="lt-LT"/>
        </w:rPr>
        <w:t xml:space="preserve">, </w:t>
      </w:r>
      <w:proofErr w:type="spellStart"/>
      <w:r>
        <w:rPr>
          <w:bCs/>
          <w:szCs w:val="24"/>
          <w:lang w:val="en-US" w:eastAsia="lt-LT"/>
        </w:rPr>
        <w:t>Australijos</w:t>
      </w:r>
      <w:proofErr w:type="spellEnd"/>
      <w:r>
        <w:rPr>
          <w:bCs/>
          <w:szCs w:val="24"/>
          <w:lang w:val="en-US" w:eastAsia="lt-LT"/>
        </w:rPr>
        <w:t xml:space="preserve"> </w:t>
      </w:r>
      <w:proofErr w:type="spellStart"/>
      <w:r>
        <w:rPr>
          <w:bCs/>
          <w:szCs w:val="24"/>
          <w:lang w:val="en-US" w:eastAsia="lt-LT"/>
        </w:rPr>
        <w:t>modifikacija</w:t>
      </w:r>
      <w:proofErr w:type="spellEnd"/>
      <w:r>
        <w:rPr>
          <w:bCs/>
          <w:szCs w:val="24"/>
          <w:lang w:val="en-US" w:eastAsia="lt-LT"/>
        </w:rPr>
        <w:t xml:space="preserve">) </w:t>
      </w:r>
      <w:proofErr w:type="spellStart"/>
      <w:r>
        <w:rPr>
          <w:bCs/>
          <w:szCs w:val="24"/>
          <w:lang w:val="en-US" w:eastAsia="lt-LT"/>
        </w:rPr>
        <w:t>kodus</w:t>
      </w:r>
      <w:proofErr w:type="spellEnd"/>
      <w:r>
        <w:rPr>
          <w:bCs/>
          <w:szCs w:val="24"/>
          <w:lang w:val="en-US" w:eastAsia="lt-LT"/>
        </w:rPr>
        <w:t>:</w:t>
      </w:r>
      <w:r>
        <w:rPr>
          <w:rFonts w:ascii="TimesLT" w:hAnsi="TimesLT" w:cs="TimesLT"/>
          <w:b/>
          <w:bCs/>
          <w:caps/>
          <w:szCs w:val="24"/>
          <w:lang w:val="en-US" w:eastAsia="lt-LT"/>
        </w:rPr>
        <w:t xml:space="preserve"> </w:t>
      </w:r>
    </w:p>
    <w:p w14:paraId="450FFA1A" w14:textId="61EFD304" w:rsidR="00DF49B6" w:rsidRDefault="00902738">
      <w:pPr>
        <w:ind w:firstLine="720"/>
        <w:rPr>
          <w:bCs/>
          <w:szCs w:val="24"/>
          <w:lang w:eastAsia="lt-LT"/>
        </w:rPr>
      </w:pPr>
      <w:r w:rsidR="00010037">
        <w:rPr>
          <w:bCs/>
          <w:szCs w:val="24"/>
          <w:lang w:eastAsia="lt-LT"/>
        </w:rPr>
        <w:t>1</w:t>
      </w:r>
      <w:r w:rsidR="00010037">
        <w:rPr>
          <w:bCs/>
          <w:szCs w:val="24"/>
          <w:lang w:eastAsia="lt-LT"/>
        </w:rPr>
        <w:t>. Organiniai ir simptominiai psichikos sutrikimai, F00–F09.</w:t>
      </w:r>
    </w:p>
    <w:p w14:paraId="450FFA1B" w14:textId="7B88E973" w:rsidR="00DF49B6" w:rsidRDefault="00902738">
      <w:pPr>
        <w:ind w:firstLine="720"/>
        <w:jc w:val="both"/>
        <w:rPr>
          <w:bCs/>
          <w:caps/>
          <w:szCs w:val="24"/>
          <w:lang w:eastAsia="lt-LT"/>
        </w:rPr>
      </w:pPr>
      <w:r w:rsidR="00010037">
        <w:rPr>
          <w:bCs/>
          <w:szCs w:val="24"/>
          <w:lang w:eastAsia="lt-LT"/>
        </w:rPr>
        <w:t>2</w:t>
      </w:r>
      <w:r w:rsidR="00010037">
        <w:rPr>
          <w:bCs/>
          <w:szCs w:val="24"/>
          <w:lang w:eastAsia="lt-LT"/>
        </w:rPr>
        <w:t>. Psichikos ir elgesio sutrikimai, vartojant psichoaktyviąsias ar lakias medžiagas, kelių rūšių narkotikus, F10–F16, F18, F19.</w:t>
      </w:r>
    </w:p>
    <w:p w14:paraId="450FFA1C" w14:textId="3943D7BB" w:rsidR="00DF49B6" w:rsidRDefault="00902738">
      <w:pPr>
        <w:ind w:firstLine="720"/>
        <w:jc w:val="both"/>
        <w:rPr>
          <w:bCs/>
          <w:szCs w:val="24"/>
          <w:lang w:eastAsia="lt-LT"/>
        </w:rPr>
      </w:pPr>
      <w:r w:rsidR="00010037">
        <w:rPr>
          <w:bCs/>
          <w:szCs w:val="24"/>
          <w:lang w:eastAsia="lt-LT"/>
        </w:rPr>
        <w:t>3</w:t>
      </w:r>
      <w:r w:rsidR="00010037">
        <w:rPr>
          <w:bCs/>
          <w:szCs w:val="24"/>
          <w:lang w:eastAsia="lt-LT"/>
        </w:rPr>
        <w:t xml:space="preserve">. Šizofrenija, šizotipinis ir kliedesiniai ar šizoefektiniai-psichoziniai sutrikimai, F20–F29. </w:t>
      </w:r>
    </w:p>
    <w:p w14:paraId="450FFA1D" w14:textId="30E73949" w:rsidR="00DF49B6" w:rsidRDefault="00902738">
      <w:pPr>
        <w:ind w:firstLine="720"/>
        <w:jc w:val="both"/>
        <w:rPr>
          <w:bCs/>
          <w:caps/>
          <w:szCs w:val="24"/>
          <w:lang w:eastAsia="lt-LT"/>
        </w:rPr>
      </w:pPr>
      <w:r w:rsidR="00010037">
        <w:rPr>
          <w:bCs/>
          <w:szCs w:val="24"/>
          <w:lang w:eastAsia="lt-LT"/>
        </w:rPr>
        <w:t>4</w:t>
      </w:r>
      <w:r w:rsidR="00010037">
        <w:rPr>
          <w:bCs/>
          <w:szCs w:val="24"/>
          <w:lang w:eastAsia="lt-LT"/>
        </w:rPr>
        <w:t>. Manija ar kiti nepatikslinti, nuolatiniai ar pasikartojantys, fobiniai ar seksualiniai sutrikimai, F30, F30.8, F30.9, F31.0–F31.9, F33.0–F33.9, F34.0–F34.8, F38.0, F38.1, F39, F40–F48, F52.7, F52.8, F52.9.</w:t>
      </w:r>
    </w:p>
    <w:p w14:paraId="450FFA1E" w14:textId="7DD5D952" w:rsidR="00DF49B6" w:rsidRDefault="00902738">
      <w:pPr>
        <w:ind w:firstLine="720"/>
        <w:jc w:val="both"/>
        <w:rPr>
          <w:bCs/>
          <w:szCs w:val="24"/>
          <w:lang w:eastAsia="lt-LT"/>
        </w:rPr>
      </w:pPr>
      <w:r w:rsidR="00010037">
        <w:rPr>
          <w:bCs/>
          <w:szCs w:val="24"/>
          <w:lang w:eastAsia="lt-LT"/>
        </w:rPr>
        <w:t>5</w:t>
      </w:r>
      <w:r w:rsidR="00010037">
        <w:rPr>
          <w:bCs/>
          <w:szCs w:val="24"/>
          <w:lang w:eastAsia="lt-LT"/>
        </w:rPr>
        <w:t>.</w:t>
      </w:r>
      <w:r w:rsidR="00010037">
        <w:rPr>
          <w:rFonts w:ascii="TimesLT" w:hAnsi="TimesLT" w:cs="TimesLT"/>
          <w:b/>
          <w:bCs/>
          <w:caps/>
          <w:szCs w:val="24"/>
          <w:lang w:eastAsia="lt-LT"/>
        </w:rPr>
        <w:t xml:space="preserve"> </w:t>
      </w:r>
      <w:r w:rsidR="00010037">
        <w:rPr>
          <w:bCs/>
          <w:szCs w:val="24"/>
          <w:lang w:eastAsia="lt-LT"/>
        </w:rPr>
        <w:t>F30.0, F30.1, F32.0, F32.1, F32.8, F32.9, F34.9, F38.8, F53–F59, išskyrus, kai gydytojų psichiatrų konsultacinė komisija pateikia išvadą, kad nuo gydymo medikamentais pabaigos praėjus 3 metams nenustatytas ligos progresavimas.</w:t>
      </w:r>
    </w:p>
    <w:p w14:paraId="450FFA1F" w14:textId="7A2229C8" w:rsidR="00DF49B6" w:rsidRDefault="00902738">
      <w:pPr>
        <w:ind w:firstLine="720"/>
        <w:jc w:val="both"/>
        <w:rPr>
          <w:bCs/>
          <w:szCs w:val="24"/>
          <w:lang w:eastAsia="lt-LT"/>
        </w:rPr>
      </w:pPr>
      <w:r w:rsidR="00010037">
        <w:rPr>
          <w:bCs/>
          <w:caps/>
          <w:szCs w:val="24"/>
          <w:lang w:eastAsia="lt-LT"/>
        </w:rPr>
        <w:t>6</w:t>
      </w:r>
      <w:r w:rsidR="00010037">
        <w:rPr>
          <w:bCs/>
          <w:caps/>
          <w:szCs w:val="24"/>
          <w:lang w:eastAsia="lt-LT"/>
        </w:rPr>
        <w:t xml:space="preserve">. </w:t>
      </w:r>
      <w:r w:rsidR="00010037">
        <w:rPr>
          <w:bCs/>
          <w:szCs w:val="24"/>
          <w:lang w:eastAsia="lt-LT"/>
        </w:rPr>
        <w:t xml:space="preserve">Suaugusiųjų asmenybės ir elgesio sutrikimai, protinis atsilikimas, F60–F69, F70–F79. </w:t>
      </w:r>
    </w:p>
    <w:p w14:paraId="450FFA20" w14:textId="52360156" w:rsidR="00DF49B6" w:rsidRDefault="00902738">
      <w:pPr>
        <w:ind w:firstLine="720"/>
        <w:rPr>
          <w:bCs/>
          <w:szCs w:val="24"/>
          <w:lang w:eastAsia="lt-LT"/>
        </w:rPr>
      </w:pPr>
      <w:r w:rsidR="00010037">
        <w:rPr>
          <w:bCs/>
          <w:szCs w:val="24"/>
          <w:lang w:eastAsia="lt-LT"/>
        </w:rPr>
        <w:t>7</w:t>
      </w:r>
      <w:r w:rsidR="00010037">
        <w:rPr>
          <w:bCs/>
          <w:szCs w:val="24"/>
          <w:lang w:eastAsia="lt-LT"/>
        </w:rPr>
        <w:t xml:space="preserve">. Kvėpavimo organų tuberkuliozė, patvirtinta bakteriologiškai ir histologiškai, </w:t>
      </w:r>
      <w:r w:rsidR="00010037">
        <w:rPr>
          <w:bCs/>
          <w:caps/>
          <w:szCs w:val="24"/>
          <w:lang w:eastAsia="lt-LT"/>
        </w:rPr>
        <w:t>A15.</w:t>
      </w:r>
    </w:p>
    <w:p w14:paraId="450FFA21" w14:textId="29385F1C" w:rsidR="00DF49B6" w:rsidRDefault="00902738">
      <w:pPr>
        <w:ind w:firstLine="720"/>
        <w:rPr>
          <w:bCs/>
          <w:caps/>
          <w:szCs w:val="24"/>
          <w:lang w:eastAsia="lt-LT"/>
        </w:rPr>
      </w:pPr>
      <w:r w:rsidR="00010037">
        <w:rPr>
          <w:bCs/>
          <w:caps/>
          <w:szCs w:val="24"/>
          <w:lang w:eastAsia="lt-LT"/>
        </w:rPr>
        <w:t>8</w:t>
      </w:r>
      <w:r w:rsidR="00010037">
        <w:rPr>
          <w:bCs/>
          <w:caps/>
          <w:szCs w:val="24"/>
          <w:lang w:eastAsia="lt-LT"/>
        </w:rPr>
        <w:t xml:space="preserve">. </w:t>
      </w:r>
      <w:r w:rsidR="00010037">
        <w:rPr>
          <w:bCs/>
          <w:szCs w:val="24"/>
          <w:lang w:eastAsia="lt-LT"/>
        </w:rPr>
        <w:t xml:space="preserve">Lėtinis inkstų nepakankamumas, </w:t>
      </w:r>
      <w:r w:rsidR="00010037">
        <w:rPr>
          <w:bCs/>
          <w:caps/>
          <w:szCs w:val="24"/>
          <w:lang w:eastAsia="lt-LT"/>
        </w:rPr>
        <w:t xml:space="preserve">N18, </w:t>
      </w:r>
      <w:r w:rsidR="00010037">
        <w:rPr>
          <w:bCs/>
          <w:szCs w:val="24"/>
          <w:lang w:eastAsia="lt-LT"/>
        </w:rPr>
        <w:t>kai reikalinga dializė</w:t>
      </w:r>
      <w:r w:rsidR="00010037">
        <w:rPr>
          <w:bCs/>
          <w:caps/>
          <w:szCs w:val="24"/>
          <w:lang w:eastAsia="lt-LT"/>
        </w:rPr>
        <w:t>.</w:t>
      </w:r>
    </w:p>
    <w:p w14:paraId="450FFA22" w14:textId="6B8E75AD" w:rsidR="00DF49B6" w:rsidRDefault="00902738">
      <w:pPr>
        <w:ind w:firstLine="720"/>
        <w:rPr>
          <w:bCs/>
          <w:caps/>
          <w:szCs w:val="24"/>
          <w:lang w:eastAsia="lt-LT"/>
        </w:rPr>
      </w:pPr>
      <w:r w:rsidR="00010037">
        <w:rPr>
          <w:bCs/>
          <w:caps/>
          <w:szCs w:val="24"/>
          <w:lang w:eastAsia="lt-LT"/>
        </w:rPr>
        <w:t>9</w:t>
      </w:r>
      <w:r w:rsidR="00010037">
        <w:rPr>
          <w:bCs/>
          <w:caps/>
          <w:szCs w:val="24"/>
          <w:lang w:eastAsia="lt-LT"/>
        </w:rPr>
        <w:t xml:space="preserve">. </w:t>
      </w:r>
      <w:r w:rsidR="00010037">
        <w:rPr>
          <w:bCs/>
          <w:szCs w:val="24"/>
          <w:lang w:eastAsia="lt-LT"/>
        </w:rPr>
        <w:t>Hantingtono (</w:t>
      </w:r>
      <w:r w:rsidR="00010037">
        <w:rPr>
          <w:bCs/>
          <w:i/>
          <w:szCs w:val="24"/>
          <w:lang w:eastAsia="lt-LT"/>
        </w:rPr>
        <w:t>Huntington</w:t>
      </w:r>
      <w:r w:rsidR="00010037">
        <w:rPr>
          <w:bCs/>
          <w:szCs w:val="24"/>
          <w:lang w:eastAsia="lt-LT"/>
        </w:rPr>
        <w:t xml:space="preserve">) liga, </w:t>
      </w:r>
      <w:r w:rsidR="00010037">
        <w:rPr>
          <w:bCs/>
          <w:caps/>
          <w:szCs w:val="24"/>
          <w:lang w:eastAsia="lt-LT"/>
        </w:rPr>
        <w:t>G10.</w:t>
      </w:r>
    </w:p>
    <w:p w14:paraId="450FFA23" w14:textId="790454ED" w:rsidR="00DF49B6" w:rsidRDefault="00902738">
      <w:pPr>
        <w:ind w:firstLine="720"/>
        <w:rPr>
          <w:bCs/>
          <w:caps/>
          <w:szCs w:val="24"/>
          <w:lang w:eastAsia="lt-LT"/>
        </w:rPr>
      </w:pPr>
      <w:r w:rsidR="00010037">
        <w:rPr>
          <w:bCs/>
          <w:caps/>
          <w:szCs w:val="24"/>
          <w:lang w:eastAsia="lt-LT"/>
        </w:rPr>
        <w:t>10</w:t>
      </w:r>
      <w:r w:rsidR="00010037">
        <w:rPr>
          <w:bCs/>
          <w:caps/>
          <w:szCs w:val="24"/>
          <w:lang w:eastAsia="lt-LT"/>
        </w:rPr>
        <w:t xml:space="preserve">. </w:t>
      </w:r>
      <w:r w:rsidR="00010037">
        <w:rPr>
          <w:bCs/>
          <w:szCs w:val="24"/>
          <w:lang w:eastAsia="lt-LT"/>
        </w:rPr>
        <w:t>Paveldimoji ataksija,</w:t>
      </w:r>
      <w:r w:rsidR="00010037">
        <w:rPr>
          <w:bCs/>
          <w:caps/>
          <w:szCs w:val="24"/>
          <w:lang w:eastAsia="lt-LT"/>
        </w:rPr>
        <w:t xml:space="preserve"> G11.</w:t>
      </w:r>
    </w:p>
    <w:p w14:paraId="450FFA24" w14:textId="3DAF719F" w:rsidR="00DF49B6" w:rsidRDefault="00902738">
      <w:pPr>
        <w:ind w:firstLine="720"/>
        <w:rPr>
          <w:bCs/>
          <w:caps/>
          <w:szCs w:val="24"/>
          <w:lang w:eastAsia="lt-LT"/>
        </w:rPr>
      </w:pPr>
      <w:r w:rsidR="00010037">
        <w:rPr>
          <w:bCs/>
          <w:caps/>
          <w:szCs w:val="24"/>
          <w:lang w:eastAsia="lt-LT"/>
        </w:rPr>
        <w:t>11</w:t>
      </w:r>
      <w:r w:rsidR="00010037">
        <w:rPr>
          <w:bCs/>
          <w:caps/>
          <w:szCs w:val="24"/>
          <w:lang w:eastAsia="lt-LT"/>
        </w:rPr>
        <w:t xml:space="preserve">. </w:t>
      </w:r>
      <w:r w:rsidR="00010037">
        <w:rPr>
          <w:bCs/>
          <w:szCs w:val="24"/>
          <w:lang w:eastAsia="lt-LT"/>
        </w:rPr>
        <w:t>Šoninė (</w:t>
      </w:r>
      <w:proofErr w:type="spellStart"/>
      <w:r w:rsidR="00010037">
        <w:rPr>
          <w:bCs/>
          <w:szCs w:val="24"/>
          <w:lang w:eastAsia="lt-LT"/>
        </w:rPr>
        <w:t>lateralinė</w:t>
      </w:r>
      <w:proofErr w:type="spellEnd"/>
      <w:r w:rsidR="00010037">
        <w:rPr>
          <w:bCs/>
          <w:szCs w:val="24"/>
          <w:lang w:eastAsia="lt-LT"/>
        </w:rPr>
        <w:t>) sklerozė,</w:t>
      </w:r>
      <w:r w:rsidR="00010037">
        <w:rPr>
          <w:bCs/>
          <w:caps/>
          <w:szCs w:val="24"/>
          <w:lang w:eastAsia="lt-LT"/>
        </w:rPr>
        <w:t xml:space="preserve"> G12.2.</w:t>
      </w:r>
    </w:p>
    <w:p w14:paraId="450FFA25" w14:textId="0EE8350E" w:rsidR="00DF49B6" w:rsidRDefault="00902738">
      <w:pPr>
        <w:ind w:firstLine="720"/>
        <w:rPr>
          <w:bCs/>
          <w:caps/>
          <w:szCs w:val="24"/>
          <w:lang w:eastAsia="lt-LT"/>
        </w:rPr>
      </w:pPr>
      <w:r w:rsidR="00010037">
        <w:rPr>
          <w:bCs/>
          <w:caps/>
          <w:szCs w:val="24"/>
          <w:lang w:eastAsia="lt-LT"/>
        </w:rPr>
        <w:t>12</w:t>
      </w:r>
      <w:r w:rsidR="00010037">
        <w:rPr>
          <w:bCs/>
          <w:caps/>
          <w:szCs w:val="24"/>
          <w:lang w:eastAsia="lt-LT"/>
        </w:rPr>
        <w:t xml:space="preserve">. </w:t>
      </w:r>
      <w:r w:rsidR="00010037">
        <w:rPr>
          <w:bCs/>
          <w:szCs w:val="24"/>
          <w:lang w:eastAsia="lt-LT"/>
        </w:rPr>
        <w:t>Parkinsono (</w:t>
      </w:r>
      <w:r w:rsidR="00010037">
        <w:rPr>
          <w:bCs/>
          <w:i/>
          <w:szCs w:val="24"/>
          <w:lang w:eastAsia="lt-LT"/>
        </w:rPr>
        <w:t>Parkinson</w:t>
      </w:r>
      <w:r w:rsidR="00010037">
        <w:rPr>
          <w:bCs/>
          <w:szCs w:val="24"/>
          <w:lang w:eastAsia="lt-LT"/>
        </w:rPr>
        <w:t xml:space="preserve">) liga, </w:t>
      </w:r>
      <w:r w:rsidR="00010037">
        <w:rPr>
          <w:bCs/>
          <w:szCs w:val="24"/>
          <w:lang w:val="en-US" w:eastAsia="lt-LT"/>
        </w:rPr>
        <w:t xml:space="preserve">IV stadija, </w:t>
      </w:r>
      <w:r w:rsidR="00010037">
        <w:rPr>
          <w:bCs/>
          <w:caps/>
          <w:szCs w:val="24"/>
          <w:lang w:val="en-US" w:eastAsia="lt-LT"/>
        </w:rPr>
        <w:t>G20</w:t>
      </w:r>
      <w:r w:rsidR="00010037">
        <w:rPr>
          <w:bCs/>
          <w:szCs w:val="24"/>
          <w:lang w:eastAsia="lt-LT"/>
        </w:rPr>
        <w:t>.</w:t>
      </w:r>
    </w:p>
    <w:p w14:paraId="450FFA26" w14:textId="51048072" w:rsidR="00DF49B6" w:rsidRDefault="00902738">
      <w:pPr>
        <w:ind w:firstLine="720"/>
        <w:rPr>
          <w:bCs/>
          <w:caps/>
          <w:szCs w:val="24"/>
          <w:lang w:eastAsia="lt-LT"/>
        </w:rPr>
      </w:pPr>
      <w:r w:rsidR="00010037">
        <w:rPr>
          <w:bCs/>
          <w:caps/>
          <w:szCs w:val="24"/>
          <w:lang w:eastAsia="lt-LT"/>
        </w:rPr>
        <w:t>13</w:t>
      </w:r>
      <w:r w:rsidR="00010037">
        <w:rPr>
          <w:bCs/>
          <w:caps/>
          <w:szCs w:val="24"/>
          <w:lang w:eastAsia="lt-LT"/>
        </w:rPr>
        <w:t xml:space="preserve">. </w:t>
      </w:r>
      <w:r w:rsidR="00010037">
        <w:rPr>
          <w:bCs/>
          <w:szCs w:val="24"/>
          <w:lang w:eastAsia="lt-LT"/>
        </w:rPr>
        <w:t>Alzheimerio (</w:t>
      </w:r>
      <w:r w:rsidR="00010037">
        <w:rPr>
          <w:bCs/>
          <w:i/>
          <w:szCs w:val="24"/>
          <w:lang w:eastAsia="lt-LT"/>
        </w:rPr>
        <w:t>Alzheimer</w:t>
      </w:r>
      <w:r w:rsidR="00010037">
        <w:rPr>
          <w:bCs/>
          <w:szCs w:val="24"/>
          <w:lang w:eastAsia="lt-LT"/>
        </w:rPr>
        <w:t xml:space="preserve">) liga, </w:t>
      </w:r>
      <w:r w:rsidR="00010037">
        <w:rPr>
          <w:bCs/>
          <w:caps/>
          <w:szCs w:val="24"/>
          <w:lang w:eastAsia="lt-LT"/>
        </w:rPr>
        <w:t>G30.</w:t>
      </w:r>
    </w:p>
    <w:p w14:paraId="450FFA27" w14:textId="0B1B6BDF" w:rsidR="00DF49B6" w:rsidRDefault="00902738">
      <w:pPr>
        <w:ind w:firstLine="720"/>
        <w:rPr>
          <w:bCs/>
          <w:szCs w:val="24"/>
          <w:lang w:eastAsia="lt-LT"/>
        </w:rPr>
      </w:pPr>
      <w:r w:rsidR="00010037">
        <w:rPr>
          <w:bCs/>
          <w:caps/>
          <w:szCs w:val="24"/>
          <w:lang w:eastAsia="lt-LT"/>
        </w:rPr>
        <w:t>14</w:t>
      </w:r>
      <w:r w:rsidR="00010037">
        <w:rPr>
          <w:bCs/>
          <w:caps/>
          <w:szCs w:val="24"/>
          <w:lang w:eastAsia="lt-LT"/>
        </w:rPr>
        <w:t xml:space="preserve">. </w:t>
      </w:r>
      <w:r w:rsidR="00010037">
        <w:rPr>
          <w:bCs/>
          <w:szCs w:val="24"/>
          <w:lang w:eastAsia="lt-LT"/>
        </w:rPr>
        <w:t xml:space="preserve">Išsėtinė sklerozė, G35, kai pagal išplėstinę negalios vertinimo skalę EDSS (angl. </w:t>
      </w:r>
      <w:r w:rsidR="00010037">
        <w:rPr>
          <w:bCs/>
          <w:i/>
          <w:szCs w:val="24"/>
          <w:lang w:eastAsia="lt-LT"/>
        </w:rPr>
        <w:t>The Expanded Disability Status Scale</w:t>
      </w:r>
      <w:r w:rsidR="00010037">
        <w:rPr>
          <w:bCs/>
          <w:szCs w:val="24"/>
          <w:lang w:eastAsia="lt-LT"/>
        </w:rPr>
        <w:t>) yra 7 balai ir daugiau.</w:t>
      </w:r>
    </w:p>
    <w:p w14:paraId="450FFA28" w14:textId="2F754341" w:rsidR="00DF49B6" w:rsidRDefault="00902738">
      <w:pPr>
        <w:ind w:firstLine="720"/>
        <w:jc w:val="both"/>
        <w:rPr>
          <w:bCs/>
          <w:caps/>
          <w:szCs w:val="24"/>
          <w:lang w:eastAsia="lt-LT"/>
        </w:rPr>
      </w:pPr>
      <w:r w:rsidR="00010037">
        <w:rPr>
          <w:bCs/>
          <w:caps/>
          <w:szCs w:val="24"/>
          <w:lang w:eastAsia="lt-LT"/>
        </w:rPr>
        <w:t>15</w:t>
      </w:r>
      <w:r w:rsidR="00010037">
        <w:rPr>
          <w:bCs/>
          <w:caps/>
          <w:szCs w:val="24"/>
          <w:lang w:eastAsia="lt-LT"/>
        </w:rPr>
        <w:t xml:space="preserve">. </w:t>
      </w:r>
      <w:r w:rsidR="00010037">
        <w:rPr>
          <w:bCs/>
          <w:szCs w:val="24"/>
          <w:lang w:eastAsia="lt-LT"/>
        </w:rPr>
        <w:t>Epilepsija, G40, kai yra 1 punkte nurodytas organinis ar simptominis psichikos sutrikimas ir kodas.</w:t>
      </w:r>
    </w:p>
    <w:p w14:paraId="450FFA29" w14:textId="424FE299" w:rsidR="00DF49B6" w:rsidRDefault="00902738">
      <w:pPr>
        <w:ind w:firstLine="720"/>
        <w:rPr>
          <w:bCs/>
          <w:caps/>
          <w:szCs w:val="24"/>
          <w:lang w:eastAsia="lt-LT"/>
        </w:rPr>
      </w:pPr>
      <w:r w:rsidR="00010037">
        <w:rPr>
          <w:bCs/>
          <w:caps/>
          <w:szCs w:val="24"/>
          <w:lang w:eastAsia="lt-LT"/>
        </w:rPr>
        <w:t>16</w:t>
      </w:r>
      <w:r w:rsidR="00010037">
        <w:rPr>
          <w:bCs/>
          <w:caps/>
          <w:szCs w:val="24"/>
          <w:lang w:eastAsia="lt-LT"/>
        </w:rPr>
        <w:t xml:space="preserve">. </w:t>
      </w:r>
      <w:r w:rsidR="00010037">
        <w:rPr>
          <w:bCs/>
          <w:szCs w:val="24"/>
          <w:lang w:eastAsia="lt-LT"/>
        </w:rPr>
        <w:t xml:space="preserve">Daugiasistemė degeneracija, </w:t>
      </w:r>
      <w:r w:rsidR="00010037">
        <w:rPr>
          <w:bCs/>
          <w:caps/>
          <w:szCs w:val="24"/>
          <w:lang w:eastAsia="lt-LT"/>
        </w:rPr>
        <w:t>G90.3.</w:t>
      </w:r>
    </w:p>
    <w:p w14:paraId="450FFA2A" w14:textId="5AD4E7FC" w:rsidR="00DF49B6" w:rsidRDefault="00902738">
      <w:pPr>
        <w:ind w:firstLine="720"/>
        <w:rPr>
          <w:bCs/>
          <w:szCs w:val="24"/>
          <w:lang w:eastAsia="lt-LT"/>
        </w:rPr>
      </w:pPr>
      <w:r w:rsidR="00010037">
        <w:rPr>
          <w:bCs/>
          <w:szCs w:val="24"/>
          <w:lang w:eastAsia="lt-LT"/>
        </w:rPr>
        <w:t>17</w:t>
      </w:r>
      <w:r w:rsidR="00010037">
        <w:rPr>
          <w:bCs/>
          <w:szCs w:val="24"/>
          <w:lang w:eastAsia="lt-LT"/>
        </w:rPr>
        <w:t>. Piktybiniai navikai:</w:t>
      </w:r>
    </w:p>
    <w:p w14:paraId="450FFA2B" w14:textId="77777777" w:rsidR="00DF49B6" w:rsidRDefault="00902738">
      <w:pPr>
        <w:ind w:firstLine="720"/>
        <w:rPr>
          <w:bCs/>
          <w:caps/>
          <w:szCs w:val="24"/>
          <w:lang w:eastAsia="lt-LT"/>
        </w:rPr>
      </w:pPr>
      <w:r w:rsidR="00010037">
        <w:rPr>
          <w:bCs/>
          <w:szCs w:val="24"/>
          <w:lang w:eastAsia="lt-LT"/>
        </w:rPr>
        <w:t>17.1</w:t>
      </w:r>
      <w:r w:rsidR="00010037">
        <w:rPr>
          <w:bCs/>
          <w:szCs w:val="24"/>
          <w:lang w:eastAsia="lt-LT"/>
        </w:rPr>
        <w:t xml:space="preserve">. </w:t>
      </w:r>
      <w:r w:rsidR="00010037">
        <w:rPr>
          <w:bCs/>
          <w:szCs w:val="24"/>
          <w:lang w:val="en-US" w:eastAsia="lt-LT"/>
        </w:rPr>
        <w:t>C00–C75</w:t>
      </w:r>
      <w:r w:rsidR="00010037">
        <w:rPr>
          <w:rFonts w:ascii="TimesLT" w:hAnsi="TimesLT" w:cs="TimesLT"/>
          <w:b/>
          <w:bCs/>
          <w:szCs w:val="24"/>
          <w:lang w:val="en-US" w:eastAsia="lt-LT"/>
        </w:rPr>
        <w:t xml:space="preserve"> </w:t>
      </w:r>
      <w:r w:rsidR="00010037">
        <w:rPr>
          <w:bCs/>
          <w:caps/>
          <w:szCs w:val="24"/>
          <w:lang w:eastAsia="lt-LT"/>
        </w:rPr>
        <w:t xml:space="preserve">III, IV </w:t>
      </w:r>
      <w:r w:rsidR="00010037">
        <w:rPr>
          <w:bCs/>
          <w:szCs w:val="24"/>
          <w:lang w:eastAsia="lt-LT"/>
        </w:rPr>
        <w:t>stadija</w:t>
      </w:r>
      <w:r w:rsidR="00010037">
        <w:rPr>
          <w:bCs/>
          <w:caps/>
          <w:szCs w:val="24"/>
          <w:lang w:eastAsia="lt-LT"/>
        </w:rPr>
        <w:t>;</w:t>
      </w:r>
    </w:p>
    <w:p w14:paraId="450FFA2C" w14:textId="77777777" w:rsidR="00DF49B6" w:rsidRDefault="00902738">
      <w:pPr>
        <w:ind w:firstLine="720"/>
        <w:rPr>
          <w:bCs/>
          <w:szCs w:val="24"/>
          <w:lang w:eastAsia="lt-LT"/>
        </w:rPr>
      </w:pPr>
      <w:r w:rsidR="00010037">
        <w:rPr>
          <w:bCs/>
          <w:caps/>
          <w:szCs w:val="24"/>
          <w:lang w:eastAsia="lt-LT"/>
        </w:rPr>
        <w:t>17.2</w:t>
      </w:r>
      <w:r w:rsidR="00010037">
        <w:rPr>
          <w:bCs/>
          <w:caps/>
          <w:szCs w:val="24"/>
          <w:lang w:eastAsia="lt-LT"/>
        </w:rPr>
        <w:t>. C76–C80</w:t>
      </w:r>
      <w:r w:rsidR="00010037">
        <w:rPr>
          <w:rFonts w:ascii="TimesLT" w:hAnsi="TimesLT" w:cs="TimesLT"/>
          <w:b/>
          <w:bCs/>
          <w:caps/>
          <w:szCs w:val="24"/>
          <w:lang w:eastAsia="lt-LT"/>
        </w:rPr>
        <w:t xml:space="preserve"> </w:t>
      </w:r>
      <w:r w:rsidR="00010037">
        <w:rPr>
          <w:bCs/>
          <w:szCs w:val="24"/>
          <w:lang w:eastAsia="lt-LT"/>
        </w:rPr>
        <w:t>nepatikslintos lokalizacijos;</w:t>
      </w:r>
    </w:p>
    <w:p w14:paraId="450FFA2D" w14:textId="77777777" w:rsidR="00DF49B6" w:rsidRDefault="00902738">
      <w:pPr>
        <w:ind w:firstLine="720"/>
        <w:jc w:val="both"/>
        <w:rPr>
          <w:bCs/>
          <w:szCs w:val="24"/>
          <w:lang w:eastAsia="lt-LT"/>
        </w:rPr>
      </w:pPr>
      <w:r w:rsidR="00010037">
        <w:rPr>
          <w:bCs/>
          <w:szCs w:val="24"/>
          <w:lang w:eastAsia="lt-LT"/>
        </w:rPr>
        <w:t>17.3</w:t>
      </w:r>
      <w:r w:rsidR="00010037">
        <w:rPr>
          <w:bCs/>
          <w:szCs w:val="24"/>
          <w:lang w:eastAsia="lt-LT"/>
        </w:rPr>
        <w:t>. C81–C96, išskyrus, kai praėjus 5 metams po baigto aktyvaus gydymo gydantis gydytojas pateikia išvadą, kad nenustatytas ligos progresavimas;</w:t>
      </w:r>
    </w:p>
    <w:p w14:paraId="450FFA2E" w14:textId="77777777" w:rsidR="00DF49B6" w:rsidRDefault="00902738">
      <w:pPr>
        <w:ind w:firstLine="720"/>
        <w:jc w:val="both"/>
        <w:rPr>
          <w:bCs/>
          <w:szCs w:val="24"/>
          <w:lang w:eastAsia="lt-LT"/>
        </w:rPr>
      </w:pPr>
      <w:r w:rsidR="00010037">
        <w:rPr>
          <w:bCs/>
          <w:szCs w:val="24"/>
          <w:lang w:eastAsia="lt-LT"/>
        </w:rPr>
        <w:t>17.4</w:t>
      </w:r>
      <w:r w:rsidR="00010037">
        <w:rPr>
          <w:bCs/>
          <w:szCs w:val="24"/>
          <w:lang w:eastAsia="lt-LT"/>
        </w:rPr>
        <w:t xml:space="preserve">. </w:t>
      </w:r>
      <w:r w:rsidR="00010037">
        <w:rPr>
          <w:bCs/>
          <w:caps/>
          <w:szCs w:val="24"/>
          <w:lang w:eastAsia="lt-LT"/>
        </w:rPr>
        <w:t xml:space="preserve">C00–C75 II </w:t>
      </w:r>
      <w:r w:rsidR="00010037">
        <w:rPr>
          <w:bCs/>
          <w:szCs w:val="24"/>
          <w:lang w:eastAsia="lt-LT"/>
        </w:rPr>
        <w:t>stadija, išskyrus, kai praėjus 10 metų po baigto aktyvaus gydymo gydantis gydytojas pateikia išvadą, kad nenustatytas ligos progresavimas;</w:t>
      </w:r>
    </w:p>
    <w:p w14:paraId="450FFA2F" w14:textId="52CD310D" w:rsidR="00DF49B6" w:rsidRDefault="00902738">
      <w:pPr>
        <w:ind w:firstLine="720"/>
        <w:jc w:val="both"/>
        <w:rPr>
          <w:bCs/>
          <w:szCs w:val="24"/>
          <w:lang w:eastAsia="lt-LT"/>
        </w:rPr>
      </w:pPr>
      <w:r w:rsidR="00010037">
        <w:rPr>
          <w:bCs/>
          <w:szCs w:val="24"/>
          <w:lang w:eastAsia="lt-LT"/>
        </w:rPr>
        <w:t>17.5</w:t>
      </w:r>
      <w:r w:rsidR="00010037">
        <w:rPr>
          <w:bCs/>
          <w:szCs w:val="24"/>
          <w:lang w:eastAsia="lt-LT"/>
        </w:rPr>
        <w:t xml:space="preserve">. C00–C75 </w:t>
      </w:r>
      <w:r w:rsidR="00010037">
        <w:rPr>
          <w:bCs/>
          <w:caps/>
          <w:szCs w:val="24"/>
          <w:lang w:eastAsia="lt-LT"/>
        </w:rPr>
        <w:t xml:space="preserve">I </w:t>
      </w:r>
      <w:r w:rsidR="00010037">
        <w:rPr>
          <w:bCs/>
          <w:szCs w:val="24"/>
          <w:lang w:eastAsia="lt-LT"/>
        </w:rPr>
        <w:t>stadija</w:t>
      </w:r>
      <w:r w:rsidR="00010037">
        <w:rPr>
          <w:rFonts w:ascii="TimesLT" w:hAnsi="TimesLT" w:cs="TimesLT"/>
          <w:b/>
          <w:bCs/>
          <w:caps/>
          <w:szCs w:val="24"/>
          <w:lang w:eastAsia="lt-LT"/>
        </w:rPr>
        <w:t xml:space="preserve"> </w:t>
      </w:r>
      <w:r w:rsidR="00010037">
        <w:rPr>
          <w:bCs/>
          <w:szCs w:val="24"/>
          <w:lang w:eastAsia="lt-LT"/>
        </w:rPr>
        <w:t xml:space="preserve">arba D00–D09 </w:t>
      </w:r>
      <w:r w:rsidR="00010037">
        <w:rPr>
          <w:bCs/>
          <w:i/>
          <w:szCs w:val="24"/>
          <w:lang w:eastAsia="lt-LT"/>
        </w:rPr>
        <w:t>in situ</w:t>
      </w:r>
      <w:r w:rsidR="00010037">
        <w:rPr>
          <w:rFonts w:ascii="TimesLT" w:hAnsi="TimesLT" w:cs="TimesLT"/>
          <w:b/>
          <w:bCs/>
          <w:i/>
          <w:caps/>
          <w:szCs w:val="24"/>
          <w:lang w:eastAsia="lt-LT"/>
        </w:rPr>
        <w:t>,</w:t>
      </w:r>
      <w:r w:rsidR="00010037">
        <w:rPr>
          <w:bCs/>
          <w:szCs w:val="24"/>
          <w:lang w:eastAsia="lt-LT"/>
        </w:rPr>
        <w:t xml:space="preserve"> išskyrus, kai praėjus 5 metams po baigto aktyvaus gydymo gydantis gydytojas pateikia išvadą, kad nenustatytas ligos progresavimas.</w:t>
      </w:r>
    </w:p>
    <w:p w14:paraId="450FFA32" w14:textId="120C5AB5" w:rsidR="00DF49B6" w:rsidRDefault="00010037" w:rsidP="00010037">
      <w:pPr>
        <w:ind w:firstLine="2880"/>
        <w:jc w:val="both"/>
        <w:rPr>
          <w:szCs w:val="24"/>
        </w:rPr>
      </w:pPr>
      <w:r>
        <w:rPr>
          <w:color w:val="000000"/>
          <w:szCs w:val="24"/>
        </w:rPr>
        <w:t>_______________________</w:t>
      </w:r>
    </w:p>
    <w:sectPr w:rsidR="00DF49B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FFA35" w14:textId="77777777" w:rsidR="00DF49B6" w:rsidRDefault="00010037">
      <w:pPr>
        <w:rPr>
          <w:szCs w:val="24"/>
        </w:rPr>
      </w:pPr>
      <w:r>
        <w:rPr>
          <w:szCs w:val="24"/>
        </w:rPr>
        <w:separator/>
      </w:r>
    </w:p>
  </w:endnote>
  <w:endnote w:type="continuationSeparator" w:id="0">
    <w:p w14:paraId="450FFA36" w14:textId="77777777" w:rsidR="00DF49B6" w:rsidRDefault="0001003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B" w14:textId="77777777" w:rsidR="00DF49B6" w:rsidRDefault="00DF49B6">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C" w14:textId="77777777" w:rsidR="00DF49B6" w:rsidRDefault="00DF49B6">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E" w14:textId="77777777" w:rsidR="00DF49B6" w:rsidRDefault="00DF49B6">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FFA33" w14:textId="77777777" w:rsidR="00DF49B6" w:rsidRDefault="00010037">
      <w:pPr>
        <w:rPr>
          <w:szCs w:val="24"/>
        </w:rPr>
      </w:pPr>
      <w:r>
        <w:rPr>
          <w:szCs w:val="24"/>
        </w:rPr>
        <w:separator/>
      </w:r>
    </w:p>
  </w:footnote>
  <w:footnote w:type="continuationSeparator" w:id="0">
    <w:p w14:paraId="450FFA34" w14:textId="77777777" w:rsidR="00DF49B6" w:rsidRDefault="0001003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7" w14:textId="77777777" w:rsidR="00DF49B6" w:rsidRDefault="0001003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50FFA38" w14:textId="77777777" w:rsidR="00DF49B6" w:rsidRDefault="00DF49B6">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A" w14:textId="77777777" w:rsidR="00DF49B6" w:rsidRDefault="00DF49B6">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FFA3D" w14:textId="77777777" w:rsidR="00DF49B6" w:rsidRDefault="00DF49B6">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010037"/>
    <w:rsid w:val="00902738"/>
    <w:rsid w:val="00DF49B6"/>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0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10037"/>
    <w:rPr>
      <w:rFonts w:ascii="Tahoma" w:hAnsi="Tahoma" w:cs="Tahoma"/>
      <w:sz w:val="16"/>
      <w:szCs w:val="16"/>
    </w:rPr>
  </w:style>
  <w:style w:type="character" w:customStyle="1" w:styleId="DebesliotekstasDiagrama">
    <w:name w:val="Debesėlio tekstas Diagrama"/>
    <w:basedOn w:val="Numatytasispastraiposriftas"/>
    <w:link w:val="Debesliotekstas"/>
    <w:rsid w:val="00010037"/>
    <w:rPr>
      <w:rFonts w:ascii="Tahoma" w:hAnsi="Tahoma" w:cs="Tahoma"/>
      <w:sz w:val="16"/>
      <w:szCs w:val="16"/>
    </w:rPr>
  </w:style>
  <w:style w:type="character" w:styleId="Vietosrezervavimoenklotekstas">
    <w:name w:val="Placeholder Text"/>
    <w:basedOn w:val="Numatytasispastraiposriftas"/>
    <w:rsid w:val="000100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10037"/>
    <w:rPr>
      <w:rFonts w:ascii="Tahoma" w:hAnsi="Tahoma" w:cs="Tahoma"/>
      <w:sz w:val="16"/>
      <w:szCs w:val="16"/>
    </w:rPr>
  </w:style>
  <w:style w:type="character" w:customStyle="1" w:styleId="DebesliotekstasDiagrama">
    <w:name w:val="Debesėlio tekstas Diagrama"/>
    <w:basedOn w:val="Numatytasispastraiposriftas"/>
    <w:link w:val="Debesliotekstas"/>
    <w:rsid w:val="00010037"/>
    <w:rPr>
      <w:rFonts w:ascii="Tahoma" w:hAnsi="Tahoma" w:cs="Tahoma"/>
      <w:sz w:val="16"/>
      <w:szCs w:val="16"/>
    </w:rPr>
  </w:style>
  <w:style w:type="character" w:styleId="Vietosrezervavimoenklotekstas">
    <w:name w:val="Placeholder Text"/>
    <w:basedOn w:val="Numatytasispastraiposriftas"/>
    <w:rsid w:val="00010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577">
      <w:bodyDiv w:val="1"/>
      <w:marLeft w:val="0"/>
      <w:marRight w:val="0"/>
      <w:marTop w:val="0"/>
      <w:marBottom w:val="0"/>
      <w:divBdr>
        <w:top w:val="none" w:sz="0" w:space="0" w:color="auto"/>
        <w:left w:val="none" w:sz="0" w:space="0" w:color="auto"/>
        <w:bottom w:val="none" w:sz="0" w:space="0" w:color="auto"/>
        <w:right w:val="none" w:sz="0" w:space="0" w:color="auto"/>
      </w:divBdr>
    </w:div>
    <w:div w:id="775174188">
      <w:bodyDiv w:val="1"/>
      <w:marLeft w:val="0"/>
      <w:marRight w:val="0"/>
      <w:marTop w:val="0"/>
      <w:marBottom w:val="0"/>
      <w:divBdr>
        <w:top w:val="none" w:sz="0" w:space="0" w:color="auto"/>
        <w:left w:val="none" w:sz="0" w:space="0" w:color="auto"/>
        <w:bottom w:val="none" w:sz="0" w:space="0" w:color="auto"/>
        <w:right w:val="none" w:sz="0" w:space="0" w:color="auto"/>
      </w:divBdr>
    </w:div>
    <w:div w:id="12964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3428</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3919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2015-03-26T14:26:00Z</dcterms:created>
  <dc:creator>loginovic</dc:creator>
  <lastModifiedBy>GRUNDAITĖ Aistė</lastModifiedBy>
  <lastPrinted>2015-03-16T08:31:00Z</lastPrinted>
  <dcterms:modified xsi:type="dcterms:W3CDTF">2015-03-26T14:31:00Z</dcterms:modified>
  <revision>4</revision>
  <dc:title>2001-05-00</dc:title>
</coreProperties>
</file>