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3853" w14:textId="590789E4" w:rsidR="0016747B" w:rsidRDefault="0016747B" w:rsidP="0016747B">
      <w:pPr>
        <w:widowControl w:val="0"/>
        <w:jc w:val="center"/>
      </w:pPr>
    </w:p>
    <w:p w14:paraId="1141DDE7" w14:textId="77777777" w:rsidR="0016747B" w:rsidRDefault="0016747B" w:rsidP="0016747B">
      <w:pPr>
        <w:widowControl w:val="0"/>
        <w:jc w:val="center"/>
      </w:pPr>
    </w:p>
    <w:p w14:paraId="60B4E728" w14:textId="77777777" w:rsidR="0016747B" w:rsidRDefault="0016747B" w:rsidP="0016747B">
      <w:pPr>
        <w:widowControl w:val="0"/>
        <w:jc w:val="center"/>
      </w:pPr>
    </w:p>
    <w:p w14:paraId="1714D162" w14:textId="77777777" w:rsidR="0016747B" w:rsidRDefault="0016747B" w:rsidP="0016747B">
      <w:pPr>
        <w:widowControl w:val="0"/>
        <w:jc w:val="center"/>
        <w:rPr>
          <w:b/>
          <w:szCs w:val="24"/>
        </w:rPr>
      </w:pPr>
    </w:p>
    <w:p w14:paraId="1E1E38B2" w14:textId="726EA5AD" w:rsidR="001468FA" w:rsidRDefault="0016747B" w:rsidP="0016747B">
      <w:pPr>
        <w:widowControl w:val="0"/>
        <w:jc w:val="center"/>
        <w:rPr>
          <w:b/>
          <w:szCs w:val="24"/>
        </w:rPr>
      </w:pPr>
      <w:r>
        <w:rPr>
          <w:b/>
          <w:szCs w:val="24"/>
        </w:rPr>
        <w:t>AUDITO IR APSKAITOS TARNYBOS DIREKTORIUS</w:t>
      </w:r>
    </w:p>
    <w:p w14:paraId="1E1E38B3" w14:textId="77777777" w:rsidR="001468FA" w:rsidRDefault="001468FA" w:rsidP="0016747B">
      <w:pPr>
        <w:widowControl w:val="0"/>
        <w:ind w:left="142"/>
        <w:jc w:val="center"/>
        <w:rPr>
          <w:b/>
          <w:szCs w:val="24"/>
        </w:rPr>
      </w:pPr>
    </w:p>
    <w:p w14:paraId="1E1E38B4" w14:textId="77777777" w:rsidR="001468FA" w:rsidRDefault="0016747B" w:rsidP="0016747B">
      <w:pPr>
        <w:widowControl w:val="0"/>
        <w:ind w:left="142"/>
        <w:jc w:val="center"/>
        <w:rPr>
          <w:b/>
          <w:szCs w:val="24"/>
        </w:rPr>
      </w:pPr>
      <w:r>
        <w:rPr>
          <w:b/>
          <w:szCs w:val="24"/>
        </w:rPr>
        <w:t>ĮSAKYMAS</w:t>
      </w:r>
    </w:p>
    <w:p w14:paraId="1E1E38B5" w14:textId="77777777" w:rsidR="001468FA" w:rsidRDefault="0016747B" w:rsidP="0016747B">
      <w:pPr>
        <w:widowControl w:val="0"/>
        <w:jc w:val="center"/>
        <w:rPr>
          <w:b/>
          <w:szCs w:val="24"/>
        </w:rPr>
      </w:pPr>
      <w:r>
        <w:rPr>
          <w:b/>
          <w:szCs w:val="24"/>
        </w:rPr>
        <w:t xml:space="preserve">DĖL VIEŠOSIOS ĮSTAIGOS LIETUVOS RESPUBLIKOS APSKAITOS INSTITUTO DIREKTORIAUS 2006 M. GEGUŽĖS 12 D. ĮSAKYMO NR. VAS-6 „DĖL 33-IOJO </w:t>
      </w:r>
      <w:r>
        <w:rPr>
          <w:b/>
          <w:szCs w:val="24"/>
        </w:rPr>
        <w:t>VERSLO APSKAITOS STANDARTO „FINANSŲ MAKLERIO ĮMONIŲ IR VALDYMO ĮMONIŲ FINANSINĖ ATSKAITOMYBĖ“ TVIRTINIMO“ PRIPAŽINIMO NETEKUSIU GALIOS</w:t>
      </w:r>
    </w:p>
    <w:p w14:paraId="1E1E38B6" w14:textId="77777777" w:rsidR="001468FA" w:rsidRPr="0016747B" w:rsidRDefault="001468FA">
      <w:pPr>
        <w:widowControl w:val="0"/>
        <w:jc w:val="center"/>
        <w:rPr>
          <w:szCs w:val="24"/>
        </w:rPr>
      </w:pPr>
    </w:p>
    <w:p w14:paraId="1E1E38B7" w14:textId="77777777" w:rsidR="001468FA" w:rsidRDefault="0016747B">
      <w:pPr>
        <w:widowControl w:val="0"/>
        <w:jc w:val="center"/>
        <w:rPr>
          <w:szCs w:val="24"/>
        </w:rPr>
      </w:pPr>
      <w:r>
        <w:rPr>
          <w:szCs w:val="24"/>
        </w:rPr>
        <w:t>2015 m. vasario 2 d. Nr. VAS-2</w:t>
      </w:r>
    </w:p>
    <w:p w14:paraId="1E1E38B8" w14:textId="77777777" w:rsidR="001468FA" w:rsidRDefault="0016747B">
      <w:pPr>
        <w:widowControl w:val="0"/>
        <w:jc w:val="center"/>
        <w:rPr>
          <w:szCs w:val="24"/>
        </w:rPr>
      </w:pPr>
      <w:r>
        <w:rPr>
          <w:szCs w:val="24"/>
        </w:rPr>
        <w:t>Vilnius</w:t>
      </w:r>
    </w:p>
    <w:p w14:paraId="1E1E38B9" w14:textId="77777777" w:rsidR="001468FA" w:rsidRPr="0016747B" w:rsidRDefault="001468FA">
      <w:pPr>
        <w:widowControl w:val="0"/>
        <w:jc w:val="center"/>
        <w:rPr>
          <w:szCs w:val="24"/>
        </w:rPr>
      </w:pPr>
    </w:p>
    <w:p w14:paraId="5E98FF1A" w14:textId="77777777" w:rsidR="0016747B" w:rsidRPr="0016747B" w:rsidRDefault="0016747B">
      <w:pPr>
        <w:widowControl w:val="0"/>
        <w:jc w:val="center"/>
        <w:rPr>
          <w:szCs w:val="24"/>
        </w:rPr>
      </w:pPr>
    </w:p>
    <w:p w14:paraId="1E1E38BA" w14:textId="77777777" w:rsidR="001468FA" w:rsidRDefault="0016747B" w:rsidP="0016747B">
      <w:pPr>
        <w:widowControl w:val="0"/>
        <w:spacing w:line="348" w:lineRule="auto"/>
        <w:ind w:firstLine="720"/>
        <w:jc w:val="both"/>
        <w:rPr>
          <w:szCs w:val="24"/>
        </w:rPr>
      </w:pPr>
      <w:r>
        <w:rPr>
          <w:szCs w:val="24"/>
        </w:rPr>
        <w:t>Vadovaudamasis Lietuvos Respublikos buhalterinės apskaitos įstatymo 3 straipsnio</w:t>
      </w:r>
      <w:r>
        <w:rPr>
          <w:szCs w:val="24"/>
        </w:rPr>
        <w:t xml:space="preserve"> 4 dalimi, Lietuvos Respublikos Vyriausybės 2002 m. kovo 12 d. nutarimo Nr. 348 „Dėl įgaliojimų suteikimo įgyvendinant Lietuvos Respublikos buhalterinės apskaitos įstatymą ir Lietuvos Respublikos įmonių finansinės atskaitomybės įstatymą“ 1.1.1 punktu ir at</w:t>
      </w:r>
      <w:r>
        <w:rPr>
          <w:szCs w:val="24"/>
        </w:rPr>
        <w:t xml:space="preserve">sižvelgdamas į Apskaitos standartų komiteto 2015 m. </w:t>
      </w:r>
      <w:r>
        <w:t>sausio 30 d</w:t>
      </w:r>
      <w:r>
        <w:rPr>
          <w:szCs w:val="24"/>
        </w:rPr>
        <w:t xml:space="preserve">. nutarimą Nr. 24-1-4.1, </w:t>
      </w:r>
    </w:p>
    <w:p w14:paraId="1E1E38BB" w14:textId="77777777" w:rsidR="001468FA" w:rsidRDefault="0016747B" w:rsidP="0016747B">
      <w:pPr>
        <w:widowControl w:val="0"/>
        <w:tabs>
          <w:tab w:val="left" w:pos="1134"/>
        </w:tabs>
        <w:spacing w:line="348" w:lineRule="auto"/>
        <w:ind w:firstLine="720"/>
        <w:jc w:val="both"/>
        <w:rPr>
          <w:szCs w:val="24"/>
        </w:rPr>
      </w:pPr>
      <w:r>
        <w:rPr>
          <w:color w:val="000000"/>
          <w:spacing w:val="50"/>
          <w:szCs w:val="24"/>
        </w:rPr>
        <w:t>pripažįstu</w:t>
      </w:r>
      <w:r>
        <w:rPr>
          <w:color w:val="000000"/>
          <w:szCs w:val="24"/>
        </w:rPr>
        <w:t xml:space="preserve"> netekusiais galios:</w:t>
      </w:r>
    </w:p>
    <w:p w14:paraId="1E1E38BC" w14:textId="72B8DC92" w:rsidR="001468FA" w:rsidRPr="0016747B" w:rsidRDefault="0016747B" w:rsidP="0016747B">
      <w:pPr>
        <w:widowControl w:val="0"/>
        <w:tabs>
          <w:tab w:val="left" w:pos="1276"/>
        </w:tabs>
        <w:spacing w:line="348" w:lineRule="auto"/>
        <w:ind w:firstLine="720"/>
        <w:jc w:val="both"/>
        <w:rPr>
          <w:szCs w:val="24"/>
        </w:rPr>
      </w:pPr>
      <w:r w:rsidRPr="0016747B">
        <w:rPr>
          <w:szCs w:val="24"/>
        </w:rPr>
        <w:t>1</w:t>
      </w:r>
      <w:r w:rsidRPr="0016747B">
        <w:rPr>
          <w:szCs w:val="24"/>
        </w:rPr>
        <w:t xml:space="preserve">. </w:t>
      </w:r>
      <w:r w:rsidRPr="0016747B">
        <w:rPr>
          <w:szCs w:val="24"/>
        </w:rPr>
        <w:t>Viešosios įstaigos Lietuvos Respublikos apskaitos instituto direktoriaus 2006 m. gegužės 12 d. įsakymą Nr. VAS-6 „Dėl 33-iojo v</w:t>
      </w:r>
      <w:r w:rsidRPr="0016747B">
        <w:rPr>
          <w:szCs w:val="24"/>
        </w:rPr>
        <w:t>erslo apskaitos standarto „Finansų maklerio įmonių ir valdymo įmonių finansinė atskaitomybė“ tvirtinimo“;</w:t>
      </w:r>
    </w:p>
    <w:p w14:paraId="1E1E38BD" w14:textId="3B67AA83" w:rsidR="001468FA" w:rsidRDefault="0016747B" w:rsidP="0016747B">
      <w:pPr>
        <w:widowControl w:val="0"/>
        <w:tabs>
          <w:tab w:val="left" w:pos="1276"/>
        </w:tabs>
        <w:spacing w:line="348" w:lineRule="auto"/>
        <w:ind w:firstLine="720"/>
        <w:jc w:val="both"/>
        <w:rPr>
          <w:szCs w:val="24"/>
        </w:rPr>
      </w:pPr>
      <w:r>
        <w:rPr>
          <w:szCs w:val="24"/>
        </w:rPr>
        <w:t>2</w:t>
      </w:r>
      <w:r>
        <w:rPr>
          <w:szCs w:val="24"/>
        </w:rPr>
        <w:t xml:space="preserve">. </w:t>
      </w:r>
      <w:r>
        <w:rPr>
          <w:szCs w:val="24"/>
        </w:rPr>
        <w:t xml:space="preserve">Viešosios įstaigos Lietuvos Respublikos apskaitos instituto direktoriaus 2006 m. lapkričio 20 d. įsakymą Nr. VAS-14 „Dėl 33-iojo verslo </w:t>
      </w:r>
      <w:r>
        <w:rPr>
          <w:szCs w:val="24"/>
        </w:rPr>
        <w:t>apskaitos standarto „Finansų maklerio įmonių ir valdymo įmonių finansinė atskaitomybė“ pakeitimo“;</w:t>
      </w:r>
    </w:p>
    <w:p w14:paraId="1E1E38BE" w14:textId="47B41D6E" w:rsidR="001468FA" w:rsidRDefault="0016747B" w:rsidP="0016747B">
      <w:pPr>
        <w:widowControl w:val="0"/>
        <w:tabs>
          <w:tab w:val="left" w:pos="1276"/>
        </w:tabs>
        <w:spacing w:line="348" w:lineRule="auto"/>
        <w:ind w:firstLine="720"/>
        <w:jc w:val="both"/>
        <w:rPr>
          <w:szCs w:val="24"/>
        </w:rPr>
      </w:pPr>
      <w:r>
        <w:rPr>
          <w:szCs w:val="24"/>
        </w:rPr>
        <w:t>3</w:t>
      </w:r>
      <w:r>
        <w:rPr>
          <w:szCs w:val="24"/>
        </w:rPr>
        <w:t xml:space="preserve">. </w:t>
      </w:r>
      <w:r>
        <w:rPr>
          <w:szCs w:val="24"/>
        </w:rPr>
        <w:t xml:space="preserve">Audito ir apskaitos tarnybos direktoriaus 2010 m. spalio 19 d. įsakymą Nr. VAS-22 „Dėl 33-iojo verslo apskaitos standarto „Finansų maklerio įmonių ir </w:t>
      </w:r>
      <w:r>
        <w:rPr>
          <w:szCs w:val="24"/>
        </w:rPr>
        <w:t>valdymo įmonių finansinė atskaitomybė“ pakeitimo“;</w:t>
      </w:r>
    </w:p>
    <w:p w14:paraId="1E1E38BF" w14:textId="398161EB" w:rsidR="001468FA" w:rsidRDefault="0016747B" w:rsidP="0016747B">
      <w:pPr>
        <w:widowControl w:val="0"/>
        <w:tabs>
          <w:tab w:val="left" w:pos="1276"/>
        </w:tabs>
        <w:spacing w:line="348" w:lineRule="auto"/>
        <w:ind w:firstLine="720"/>
        <w:jc w:val="both"/>
        <w:rPr>
          <w:szCs w:val="24"/>
        </w:rPr>
      </w:pPr>
      <w:r>
        <w:rPr>
          <w:szCs w:val="24"/>
        </w:rPr>
        <w:t>4</w:t>
      </w:r>
      <w:r>
        <w:rPr>
          <w:szCs w:val="24"/>
        </w:rPr>
        <w:t xml:space="preserve">. </w:t>
      </w:r>
      <w:r>
        <w:rPr>
          <w:szCs w:val="24"/>
        </w:rPr>
        <w:t>Audito ir apskaitos tarnybos direktoriaus 2010 m. lapkričio 16 d. įsakymą Nr. VAS-24 „Dėl 33-iojo verslo apskaitos standarto „Finansų maklerio įmonių ir valdymo įmonių finansinė atskaitomybė“ pakeit</w:t>
      </w:r>
      <w:r>
        <w:rPr>
          <w:szCs w:val="24"/>
        </w:rPr>
        <w:t>imo“;</w:t>
      </w:r>
    </w:p>
    <w:p w14:paraId="1E1E38C0" w14:textId="294033E9" w:rsidR="001468FA" w:rsidRDefault="0016747B" w:rsidP="0016747B">
      <w:pPr>
        <w:widowControl w:val="0"/>
        <w:tabs>
          <w:tab w:val="left" w:pos="1276"/>
        </w:tabs>
        <w:spacing w:line="348" w:lineRule="auto"/>
        <w:ind w:firstLine="720"/>
        <w:jc w:val="both"/>
        <w:rPr>
          <w:szCs w:val="24"/>
        </w:rPr>
      </w:pPr>
      <w:r>
        <w:rPr>
          <w:szCs w:val="24"/>
        </w:rPr>
        <w:t>5</w:t>
      </w:r>
      <w:r>
        <w:rPr>
          <w:szCs w:val="24"/>
        </w:rPr>
        <w:t xml:space="preserve">. </w:t>
      </w:r>
      <w:r>
        <w:rPr>
          <w:szCs w:val="24"/>
        </w:rPr>
        <w:t>Audito ir apskaitos tarnybos direktoriaus 2012 m. rugpjūčio 7 d. įsakymą Nr. VAS-13 „Dėl viešosios įstaigos Lietuvos Respublikos apskaitos instituto direktoriaus 2006 m. gegužės 12 d. įsakymo Nr. VAS-6 „Dėl 33-iojo verslo apskaitos standarto „</w:t>
      </w:r>
      <w:r>
        <w:rPr>
          <w:szCs w:val="24"/>
        </w:rPr>
        <w:t xml:space="preserve">Finansų maklerio įmonių ir valdymo įmonių finansinė atskaitomybė“ tvirtinimo“ pakeitimo“; </w:t>
      </w:r>
    </w:p>
    <w:p w14:paraId="1E1E38C2" w14:textId="7B52DEE0" w:rsidR="001468FA" w:rsidRDefault="0016747B" w:rsidP="0016747B">
      <w:pPr>
        <w:widowControl w:val="0"/>
        <w:tabs>
          <w:tab w:val="left" w:pos="1276"/>
        </w:tabs>
        <w:spacing w:line="348" w:lineRule="auto"/>
        <w:ind w:firstLine="720"/>
        <w:jc w:val="both"/>
        <w:rPr>
          <w:szCs w:val="24"/>
        </w:rPr>
      </w:pPr>
      <w:r>
        <w:rPr>
          <w:szCs w:val="24"/>
        </w:rPr>
        <w:t>6</w:t>
      </w:r>
      <w:r>
        <w:rPr>
          <w:szCs w:val="24"/>
        </w:rPr>
        <w:t xml:space="preserve">. </w:t>
      </w:r>
      <w:r>
        <w:rPr>
          <w:szCs w:val="24"/>
        </w:rPr>
        <w:t>Audito ir apskaitos tarnybos direktoriaus 2012 m. gruodžio 21 d. įsakymą Nr. VAS-49 „Dėl viešosios įstaigos Lietuvos Respublikos apskaitos instituto direktori</w:t>
      </w:r>
      <w:r>
        <w:rPr>
          <w:szCs w:val="24"/>
        </w:rPr>
        <w:t xml:space="preserve">aus 2006 m. gegužės 12 d. įsakymo Nr. VAS-6 „Dėl 33-iojo verslo apskaitos standarto „Finansų maklerio įmonių ir valdymo </w:t>
      </w:r>
      <w:r>
        <w:rPr>
          <w:szCs w:val="24"/>
        </w:rPr>
        <w:lastRenderedPageBreak/>
        <w:t>įmonių finansinė atskaitomybė“ tvirtinimo“ pakeitimo“.</w:t>
      </w:r>
    </w:p>
    <w:bookmarkStart w:id="0" w:name="_GoBack" w:displacedByCustomXml="prev"/>
    <w:p w14:paraId="708BEB41" w14:textId="77777777" w:rsidR="0016747B" w:rsidRDefault="0016747B">
      <w:pPr>
        <w:widowControl w:val="0"/>
        <w:tabs>
          <w:tab w:val="left" w:pos="7938"/>
        </w:tabs>
      </w:pPr>
    </w:p>
    <w:p w14:paraId="4E3C991C" w14:textId="77777777" w:rsidR="0016747B" w:rsidRDefault="0016747B">
      <w:pPr>
        <w:widowControl w:val="0"/>
        <w:tabs>
          <w:tab w:val="left" w:pos="7938"/>
        </w:tabs>
      </w:pPr>
    </w:p>
    <w:p w14:paraId="05CAB313" w14:textId="77777777" w:rsidR="0016747B" w:rsidRDefault="0016747B">
      <w:pPr>
        <w:widowControl w:val="0"/>
        <w:tabs>
          <w:tab w:val="left" w:pos="7938"/>
        </w:tabs>
      </w:pPr>
    </w:p>
    <w:p w14:paraId="4C448298" w14:textId="77777777" w:rsidR="0016747B" w:rsidRDefault="0016747B">
      <w:pPr>
        <w:widowControl w:val="0"/>
        <w:tabs>
          <w:tab w:val="left" w:pos="7938"/>
        </w:tabs>
      </w:pPr>
    </w:p>
    <w:p w14:paraId="1E1E38C3" w14:textId="42CD04C4" w:rsidR="001468FA" w:rsidRDefault="0016747B">
      <w:pPr>
        <w:widowControl w:val="0"/>
        <w:tabs>
          <w:tab w:val="left" w:pos="7938"/>
        </w:tabs>
        <w:rPr>
          <w:szCs w:val="24"/>
        </w:rPr>
      </w:pPr>
      <w:r>
        <w:rPr>
          <w:szCs w:val="24"/>
        </w:rPr>
        <w:t>Direktorius</w:t>
      </w:r>
      <w:r>
        <w:rPr>
          <w:szCs w:val="24"/>
        </w:rPr>
        <w:tab/>
        <w:t>Audrius Linartas</w:t>
      </w:r>
    </w:p>
    <w:bookmarkEnd w:id="0" w:displacedByCustomXml="next"/>
    <w:sectPr w:rsidR="001468FA">
      <w:type w:val="continuous"/>
      <w:pgSz w:w="11906" w:h="16838" w:code="9"/>
      <w:pgMar w:top="993" w:right="567" w:bottom="1134" w:left="1701" w:header="993"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38C6" w14:textId="77777777" w:rsidR="001468FA" w:rsidRDefault="0016747B">
      <w:r>
        <w:separator/>
      </w:r>
    </w:p>
  </w:endnote>
  <w:endnote w:type="continuationSeparator" w:id="0">
    <w:p w14:paraId="1E1E38C7" w14:textId="77777777" w:rsidR="001468FA" w:rsidRDefault="0016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38C4" w14:textId="77777777" w:rsidR="001468FA" w:rsidRDefault="0016747B">
      <w:r>
        <w:separator/>
      </w:r>
    </w:p>
  </w:footnote>
  <w:footnote w:type="continuationSeparator" w:id="0">
    <w:p w14:paraId="1E1E38C5" w14:textId="77777777" w:rsidR="001468FA" w:rsidRDefault="00167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0414"/>
    <w:multiLevelType w:val="hybridMultilevel"/>
    <w:tmpl w:val="8B9C4DC2"/>
    <w:lvl w:ilvl="0" w:tplc="7F60131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4D"/>
    <w:rsid w:val="001468FA"/>
    <w:rsid w:val="0016747B"/>
    <w:rsid w:val="006E4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1E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6747B"/>
    <w:rPr>
      <w:rFonts w:ascii="Tahoma" w:hAnsi="Tahoma" w:cs="Tahoma"/>
      <w:sz w:val="16"/>
      <w:szCs w:val="16"/>
    </w:rPr>
  </w:style>
  <w:style w:type="character" w:customStyle="1" w:styleId="DebesliotekstasDiagrama">
    <w:name w:val="Debesėlio tekstas Diagrama"/>
    <w:basedOn w:val="Numatytasispastraiposriftas"/>
    <w:link w:val="Debesliotekstas"/>
    <w:rsid w:val="0016747B"/>
    <w:rPr>
      <w:rFonts w:ascii="Tahoma" w:hAnsi="Tahoma" w:cs="Tahoma"/>
      <w:sz w:val="16"/>
      <w:szCs w:val="16"/>
    </w:rPr>
  </w:style>
  <w:style w:type="paragraph" w:styleId="Sraopastraipa">
    <w:name w:val="List Paragraph"/>
    <w:basedOn w:val="prastasis"/>
    <w:rsid w:val="00167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6747B"/>
    <w:rPr>
      <w:rFonts w:ascii="Tahoma" w:hAnsi="Tahoma" w:cs="Tahoma"/>
      <w:sz w:val="16"/>
      <w:szCs w:val="16"/>
    </w:rPr>
  </w:style>
  <w:style w:type="character" w:customStyle="1" w:styleId="DebesliotekstasDiagrama">
    <w:name w:val="Debesėlio tekstas Diagrama"/>
    <w:basedOn w:val="Numatytasispastraiposriftas"/>
    <w:link w:val="Debesliotekstas"/>
    <w:rsid w:val="0016747B"/>
    <w:rPr>
      <w:rFonts w:ascii="Tahoma" w:hAnsi="Tahoma" w:cs="Tahoma"/>
      <w:sz w:val="16"/>
      <w:szCs w:val="16"/>
    </w:rPr>
  </w:style>
  <w:style w:type="paragraph" w:styleId="Sraopastraipa">
    <w:name w:val="List Paragraph"/>
    <w:basedOn w:val="prastasis"/>
    <w:rsid w:val="0016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317">
      <w:bodyDiv w:val="1"/>
      <w:marLeft w:val="225"/>
      <w:marRight w:val="225"/>
      <w:marTop w:val="0"/>
      <w:marBottom w:val="0"/>
      <w:divBdr>
        <w:top w:val="none" w:sz="0" w:space="0" w:color="auto"/>
        <w:left w:val="none" w:sz="0" w:space="0" w:color="auto"/>
        <w:bottom w:val="none" w:sz="0" w:space="0" w:color="auto"/>
        <w:right w:val="none" w:sz="0" w:space="0" w:color="auto"/>
      </w:divBdr>
      <w:divsChild>
        <w:div w:id="2129201553">
          <w:marLeft w:val="0"/>
          <w:marRight w:val="0"/>
          <w:marTop w:val="0"/>
          <w:marBottom w:val="0"/>
          <w:divBdr>
            <w:top w:val="none" w:sz="0" w:space="0" w:color="auto"/>
            <w:left w:val="none" w:sz="0" w:space="0" w:color="auto"/>
            <w:bottom w:val="none" w:sz="0" w:space="0" w:color="auto"/>
            <w:right w:val="none" w:sz="0" w:space="0" w:color="auto"/>
          </w:divBdr>
        </w:div>
      </w:divsChild>
    </w:div>
    <w:div w:id="85464655">
      <w:bodyDiv w:val="1"/>
      <w:marLeft w:val="225"/>
      <w:marRight w:val="225"/>
      <w:marTop w:val="0"/>
      <w:marBottom w:val="0"/>
      <w:divBdr>
        <w:top w:val="none" w:sz="0" w:space="0" w:color="auto"/>
        <w:left w:val="none" w:sz="0" w:space="0" w:color="auto"/>
        <w:bottom w:val="none" w:sz="0" w:space="0" w:color="auto"/>
        <w:right w:val="none" w:sz="0" w:space="0" w:color="auto"/>
      </w:divBdr>
      <w:divsChild>
        <w:div w:id="295794917">
          <w:marLeft w:val="0"/>
          <w:marRight w:val="0"/>
          <w:marTop w:val="0"/>
          <w:marBottom w:val="0"/>
          <w:divBdr>
            <w:top w:val="none" w:sz="0" w:space="0" w:color="auto"/>
            <w:left w:val="none" w:sz="0" w:space="0" w:color="auto"/>
            <w:bottom w:val="none" w:sz="0" w:space="0" w:color="auto"/>
            <w:right w:val="none" w:sz="0" w:space="0" w:color="auto"/>
          </w:divBdr>
        </w:div>
      </w:divsChild>
    </w:div>
    <w:div w:id="101994172">
      <w:bodyDiv w:val="1"/>
      <w:marLeft w:val="225"/>
      <w:marRight w:val="225"/>
      <w:marTop w:val="0"/>
      <w:marBottom w:val="0"/>
      <w:divBdr>
        <w:top w:val="none" w:sz="0" w:space="0" w:color="auto"/>
        <w:left w:val="none" w:sz="0" w:space="0" w:color="auto"/>
        <w:bottom w:val="none" w:sz="0" w:space="0" w:color="auto"/>
        <w:right w:val="none" w:sz="0" w:space="0" w:color="auto"/>
      </w:divBdr>
      <w:divsChild>
        <w:div w:id="1905020954">
          <w:marLeft w:val="0"/>
          <w:marRight w:val="0"/>
          <w:marTop w:val="0"/>
          <w:marBottom w:val="0"/>
          <w:divBdr>
            <w:top w:val="none" w:sz="0" w:space="0" w:color="auto"/>
            <w:left w:val="none" w:sz="0" w:space="0" w:color="auto"/>
            <w:bottom w:val="none" w:sz="0" w:space="0" w:color="auto"/>
            <w:right w:val="none" w:sz="0" w:space="0" w:color="auto"/>
          </w:divBdr>
        </w:div>
      </w:divsChild>
    </w:div>
    <w:div w:id="245384731">
      <w:bodyDiv w:val="1"/>
      <w:marLeft w:val="225"/>
      <w:marRight w:val="225"/>
      <w:marTop w:val="0"/>
      <w:marBottom w:val="0"/>
      <w:divBdr>
        <w:top w:val="none" w:sz="0" w:space="0" w:color="auto"/>
        <w:left w:val="none" w:sz="0" w:space="0" w:color="auto"/>
        <w:bottom w:val="none" w:sz="0" w:space="0" w:color="auto"/>
        <w:right w:val="none" w:sz="0" w:space="0" w:color="auto"/>
      </w:divBdr>
      <w:divsChild>
        <w:div w:id="1293174979">
          <w:marLeft w:val="0"/>
          <w:marRight w:val="0"/>
          <w:marTop w:val="0"/>
          <w:marBottom w:val="0"/>
          <w:divBdr>
            <w:top w:val="none" w:sz="0" w:space="0" w:color="auto"/>
            <w:left w:val="none" w:sz="0" w:space="0" w:color="auto"/>
            <w:bottom w:val="none" w:sz="0" w:space="0" w:color="auto"/>
            <w:right w:val="none" w:sz="0" w:space="0" w:color="auto"/>
          </w:divBdr>
        </w:div>
      </w:divsChild>
    </w:div>
    <w:div w:id="605885466">
      <w:bodyDiv w:val="1"/>
      <w:marLeft w:val="0"/>
      <w:marRight w:val="0"/>
      <w:marTop w:val="0"/>
      <w:marBottom w:val="0"/>
      <w:divBdr>
        <w:top w:val="none" w:sz="0" w:space="0" w:color="auto"/>
        <w:left w:val="none" w:sz="0" w:space="0" w:color="auto"/>
        <w:bottom w:val="none" w:sz="0" w:space="0" w:color="auto"/>
        <w:right w:val="none" w:sz="0" w:space="0" w:color="auto"/>
      </w:divBdr>
    </w:div>
    <w:div w:id="777261406">
      <w:bodyDiv w:val="1"/>
      <w:marLeft w:val="0"/>
      <w:marRight w:val="0"/>
      <w:marTop w:val="0"/>
      <w:marBottom w:val="0"/>
      <w:divBdr>
        <w:top w:val="none" w:sz="0" w:space="0" w:color="auto"/>
        <w:left w:val="none" w:sz="0" w:space="0" w:color="auto"/>
        <w:bottom w:val="none" w:sz="0" w:space="0" w:color="auto"/>
        <w:right w:val="none" w:sz="0" w:space="0" w:color="auto"/>
      </w:divBdr>
    </w:div>
    <w:div w:id="1252931488">
      <w:bodyDiv w:val="1"/>
      <w:marLeft w:val="225"/>
      <w:marRight w:val="225"/>
      <w:marTop w:val="0"/>
      <w:marBottom w:val="0"/>
      <w:divBdr>
        <w:top w:val="none" w:sz="0" w:space="0" w:color="auto"/>
        <w:left w:val="none" w:sz="0" w:space="0" w:color="auto"/>
        <w:bottom w:val="none" w:sz="0" w:space="0" w:color="auto"/>
        <w:right w:val="none" w:sz="0" w:space="0" w:color="auto"/>
      </w:divBdr>
      <w:divsChild>
        <w:div w:id="992492623">
          <w:marLeft w:val="0"/>
          <w:marRight w:val="0"/>
          <w:marTop w:val="0"/>
          <w:marBottom w:val="0"/>
          <w:divBdr>
            <w:top w:val="none" w:sz="0" w:space="0" w:color="auto"/>
            <w:left w:val="none" w:sz="0" w:space="0" w:color="auto"/>
            <w:bottom w:val="none" w:sz="0" w:space="0" w:color="auto"/>
            <w:right w:val="none" w:sz="0" w:space="0" w:color="auto"/>
          </w:divBdr>
        </w:div>
      </w:divsChild>
    </w:div>
    <w:div w:id="1294021828">
      <w:bodyDiv w:val="1"/>
      <w:marLeft w:val="225"/>
      <w:marRight w:val="225"/>
      <w:marTop w:val="0"/>
      <w:marBottom w:val="0"/>
      <w:divBdr>
        <w:top w:val="none" w:sz="0" w:space="0" w:color="auto"/>
        <w:left w:val="none" w:sz="0" w:space="0" w:color="auto"/>
        <w:bottom w:val="none" w:sz="0" w:space="0" w:color="auto"/>
        <w:right w:val="none" w:sz="0" w:space="0" w:color="auto"/>
      </w:divBdr>
      <w:divsChild>
        <w:div w:id="1526596760">
          <w:marLeft w:val="0"/>
          <w:marRight w:val="0"/>
          <w:marTop w:val="0"/>
          <w:marBottom w:val="0"/>
          <w:divBdr>
            <w:top w:val="none" w:sz="0" w:space="0" w:color="auto"/>
            <w:left w:val="none" w:sz="0" w:space="0" w:color="auto"/>
            <w:bottom w:val="none" w:sz="0" w:space="0" w:color="auto"/>
            <w:right w:val="none" w:sz="0" w:space="0" w:color="auto"/>
          </w:divBdr>
        </w:div>
      </w:divsChild>
    </w:div>
    <w:div w:id="1482189602">
      <w:bodyDiv w:val="1"/>
      <w:marLeft w:val="225"/>
      <w:marRight w:val="225"/>
      <w:marTop w:val="0"/>
      <w:marBottom w:val="0"/>
      <w:divBdr>
        <w:top w:val="none" w:sz="0" w:space="0" w:color="auto"/>
        <w:left w:val="none" w:sz="0" w:space="0" w:color="auto"/>
        <w:bottom w:val="none" w:sz="0" w:space="0" w:color="auto"/>
        <w:right w:val="none" w:sz="0" w:space="0" w:color="auto"/>
      </w:divBdr>
      <w:divsChild>
        <w:div w:id="916129254">
          <w:marLeft w:val="0"/>
          <w:marRight w:val="0"/>
          <w:marTop w:val="0"/>
          <w:marBottom w:val="0"/>
          <w:divBdr>
            <w:top w:val="none" w:sz="0" w:space="0" w:color="auto"/>
            <w:left w:val="none" w:sz="0" w:space="0" w:color="auto"/>
            <w:bottom w:val="none" w:sz="0" w:space="0" w:color="auto"/>
            <w:right w:val="none" w:sz="0" w:space="0" w:color="auto"/>
          </w:divBdr>
        </w:div>
      </w:divsChild>
    </w:div>
    <w:div w:id="1648975201">
      <w:bodyDiv w:val="1"/>
      <w:marLeft w:val="225"/>
      <w:marRight w:val="225"/>
      <w:marTop w:val="0"/>
      <w:marBottom w:val="0"/>
      <w:divBdr>
        <w:top w:val="none" w:sz="0" w:space="0" w:color="auto"/>
        <w:left w:val="none" w:sz="0" w:space="0" w:color="auto"/>
        <w:bottom w:val="none" w:sz="0" w:space="0" w:color="auto"/>
        <w:right w:val="none" w:sz="0" w:space="0" w:color="auto"/>
      </w:divBdr>
      <w:divsChild>
        <w:div w:id="581721868">
          <w:marLeft w:val="0"/>
          <w:marRight w:val="0"/>
          <w:marTop w:val="0"/>
          <w:marBottom w:val="0"/>
          <w:divBdr>
            <w:top w:val="none" w:sz="0" w:space="0" w:color="auto"/>
            <w:left w:val="none" w:sz="0" w:space="0" w:color="auto"/>
            <w:bottom w:val="none" w:sz="0" w:space="0" w:color="auto"/>
            <w:right w:val="none" w:sz="0" w:space="0" w:color="auto"/>
          </w:divBdr>
        </w:div>
      </w:divsChild>
    </w:div>
    <w:div w:id="1740249119">
      <w:bodyDiv w:val="1"/>
      <w:marLeft w:val="225"/>
      <w:marRight w:val="225"/>
      <w:marTop w:val="0"/>
      <w:marBottom w:val="0"/>
      <w:divBdr>
        <w:top w:val="none" w:sz="0" w:space="0" w:color="auto"/>
        <w:left w:val="none" w:sz="0" w:space="0" w:color="auto"/>
        <w:bottom w:val="none" w:sz="0" w:space="0" w:color="auto"/>
        <w:right w:val="none" w:sz="0" w:space="0" w:color="auto"/>
      </w:divBdr>
      <w:divsChild>
        <w:div w:id="1753622750">
          <w:marLeft w:val="0"/>
          <w:marRight w:val="0"/>
          <w:marTop w:val="0"/>
          <w:marBottom w:val="0"/>
          <w:divBdr>
            <w:top w:val="none" w:sz="0" w:space="0" w:color="auto"/>
            <w:left w:val="none" w:sz="0" w:space="0" w:color="auto"/>
            <w:bottom w:val="none" w:sz="0" w:space="0" w:color="auto"/>
            <w:right w:val="none" w:sz="0" w:space="0" w:color="auto"/>
          </w:divBdr>
        </w:div>
      </w:divsChild>
    </w:div>
    <w:div w:id="1747411122">
      <w:bodyDiv w:val="1"/>
      <w:marLeft w:val="225"/>
      <w:marRight w:val="225"/>
      <w:marTop w:val="0"/>
      <w:marBottom w:val="0"/>
      <w:divBdr>
        <w:top w:val="none" w:sz="0" w:space="0" w:color="auto"/>
        <w:left w:val="none" w:sz="0" w:space="0" w:color="auto"/>
        <w:bottom w:val="none" w:sz="0" w:space="0" w:color="auto"/>
        <w:right w:val="none" w:sz="0" w:space="0" w:color="auto"/>
      </w:divBdr>
      <w:divsChild>
        <w:div w:id="2003895042">
          <w:marLeft w:val="0"/>
          <w:marRight w:val="0"/>
          <w:marTop w:val="0"/>
          <w:marBottom w:val="0"/>
          <w:divBdr>
            <w:top w:val="none" w:sz="0" w:space="0" w:color="auto"/>
            <w:left w:val="none" w:sz="0" w:space="0" w:color="auto"/>
            <w:bottom w:val="none" w:sz="0" w:space="0" w:color="auto"/>
            <w:right w:val="none" w:sz="0" w:space="0" w:color="auto"/>
          </w:divBdr>
        </w:div>
      </w:divsChild>
    </w:div>
    <w:div w:id="1962109609">
      <w:bodyDiv w:val="1"/>
      <w:marLeft w:val="0"/>
      <w:marRight w:val="0"/>
      <w:marTop w:val="0"/>
      <w:marBottom w:val="0"/>
      <w:divBdr>
        <w:top w:val="none" w:sz="0" w:space="0" w:color="auto"/>
        <w:left w:val="none" w:sz="0" w:space="0" w:color="auto"/>
        <w:bottom w:val="none" w:sz="0" w:space="0" w:color="auto"/>
        <w:right w:val="none" w:sz="0" w:space="0" w:color="auto"/>
      </w:divBdr>
      <w:divsChild>
        <w:div w:id="1217425616">
          <w:marLeft w:val="0"/>
          <w:marRight w:val="0"/>
          <w:marTop w:val="0"/>
          <w:marBottom w:val="0"/>
          <w:divBdr>
            <w:top w:val="none" w:sz="0" w:space="0" w:color="auto"/>
            <w:left w:val="none" w:sz="0" w:space="0" w:color="auto"/>
            <w:bottom w:val="none" w:sz="0" w:space="0" w:color="auto"/>
            <w:right w:val="none" w:sz="0" w:space="0" w:color="auto"/>
          </w:divBdr>
        </w:div>
      </w:divsChild>
    </w:div>
    <w:div w:id="1996646643">
      <w:bodyDiv w:val="1"/>
      <w:marLeft w:val="225"/>
      <w:marRight w:val="225"/>
      <w:marTop w:val="0"/>
      <w:marBottom w:val="0"/>
      <w:divBdr>
        <w:top w:val="none" w:sz="0" w:space="0" w:color="auto"/>
        <w:left w:val="none" w:sz="0" w:space="0" w:color="auto"/>
        <w:bottom w:val="none" w:sz="0" w:space="0" w:color="auto"/>
        <w:right w:val="none" w:sz="0" w:space="0" w:color="auto"/>
      </w:divBdr>
      <w:divsChild>
        <w:div w:id="152450678">
          <w:marLeft w:val="0"/>
          <w:marRight w:val="0"/>
          <w:marTop w:val="0"/>
          <w:marBottom w:val="0"/>
          <w:divBdr>
            <w:top w:val="none" w:sz="0" w:space="0" w:color="auto"/>
            <w:left w:val="none" w:sz="0" w:space="0" w:color="auto"/>
            <w:bottom w:val="none" w:sz="0" w:space="0" w:color="auto"/>
            <w:right w:val="none" w:sz="0" w:space="0" w:color="auto"/>
          </w:divBdr>
        </w:div>
      </w:divsChild>
    </w:div>
    <w:div w:id="2075472287">
      <w:bodyDiv w:val="1"/>
      <w:marLeft w:val="225"/>
      <w:marRight w:val="225"/>
      <w:marTop w:val="0"/>
      <w:marBottom w:val="0"/>
      <w:divBdr>
        <w:top w:val="none" w:sz="0" w:space="0" w:color="auto"/>
        <w:left w:val="none" w:sz="0" w:space="0" w:color="auto"/>
        <w:bottom w:val="none" w:sz="0" w:space="0" w:color="auto"/>
        <w:right w:val="none" w:sz="0" w:space="0" w:color="auto"/>
      </w:divBdr>
      <w:divsChild>
        <w:div w:id="1986810205">
          <w:marLeft w:val="0"/>
          <w:marRight w:val="0"/>
          <w:marTop w:val="0"/>
          <w:marBottom w:val="0"/>
          <w:divBdr>
            <w:top w:val="none" w:sz="0" w:space="0" w:color="auto"/>
            <w:left w:val="none" w:sz="0" w:space="0" w:color="auto"/>
            <w:bottom w:val="none" w:sz="0" w:space="0" w:color="auto"/>
            <w:right w:val="none" w:sz="0" w:space="0" w:color="auto"/>
          </w:divBdr>
        </w:div>
      </w:divsChild>
    </w:div>
    <w:div w:id="2082175824">
      <w:bodyDiv w:val="1"/>
      <w:marLeft w:val="225"/>
      <w:marRight w:val="225"/>
      <w:marTop w:val="0"/>
      <w:marBottom w:val="0"/>
      <w:divBdr>
        <w:top w:val="none" w:sz="0" w:space="0" w:color="auto"/>
        <w:left w:val="none" w:sz="0" w:space="0" w:color="auto"/>
        <w:bottom w:val="none" w:sz="0" w:space="0" w:color="auto"/>
        <w:right w:val="none" w:sz="0" w:space="0" w:color="auto"/>
      </w:divBdr>
      <w:divsChild>
        <w:div w:id="211878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2129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vt:lpstr>
      <vt:lpstr>VIEŠOJI ĮSTAIGA</vt:lpstr>
    </vt:vector>
  </TitlesOfParts>
  <Company>AAI</Company>
  <LinksUpToDate>false</LinksUpToDate>
  <CharactersWithSpaces>2437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2015-02-04T09:01:00Z</dcterms:created>
  <dc:creator>Lina Malinauskaitė-Jakimavičienė</dc:creator>
  <lastModifiedBy>skapaite.2</lastModifiedBy>
  <lastPrinted>2012-11-29T09:01:00Z</lastPrinted>
  <dcterms:modified xsi:type="dcterms:W3CDTF">2015-02-04T15:31:00Z</dcterms:modified>
  <revision>3</revision>
  <dc:title>VIEŠOJI ĮSTAIGA</dc:title>
</coreProperties>
</file>