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0B6797F" wp14:editId="435FAA6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VALSTYBĖS POLITIKŲ IR VALSTYBĖS PAREIGŪNŲ DARBO APMOKĖJIMO ĮSTATYMO NR. VIII-1904 PRIEDĖLIO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gruodžio</w:t>
      </w:r>
      <w:r>
        <w:rPr>
          <w:szCs w:val="24"/>
        </w:rPr>
        <w:t xml:space="preserve"> </w:t>
      </w:r>
      <w:r>
        <w:rPr>
          <w:szCs w:val="24"/>
          <w:lang w:val="en-US"/>
        </w:rPr>
        <w:t>20</w:t>
      </w:r>
      <w:r>
        <w:rPr>
          <w:szCs w:val="24"/>
        </w:rPr>
        <w:t xml:space="preserve"> d. Nr. </w:t>
      </w:r>
      <w:r>
        <w:rPr>
          <w:szCs w:val="24"/>
          <w:lang w:val="en-US"/>
        </w:rPr>
        <w:t>XIII-1828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uppressAutoHyphens/>
        <w:spacing w:line="360" w:lineRule="auto"/>
        <w:ind w:firstLine="720"/>
        <w:jc w:val="both"/>
        <w:rPr>
          <w:lang w:eastAsia="zh-CN"/>
        </w:rPr>
      </w:pPr>
      <w:r>
        <w:rPr>
          <w:b/>
          <w:bCs/>
          <w:szCs w:val="24"/>
          <w:lang w:eastAsia="lt-LT"/>
        </w:rPr>
        <w:t>1</w:t>
      </w:r>
      <w:r>
        <w:rPr>
          <w:b/>
          <w:bCs/>
          <w:szCs w:val="24"/>
          <w:lang w:eastAsia="lt-LT"/>
        </w:rPr>
        <w:t xml:space="preserve"> straipsnis. </w:t>
      </w:r>
      <w:r>
        <w:rPr>
          <w:b/>
          <w:bCs/>
          <w:szCs w:val="24"/>
          <w:lang w:eastAsia="zh-CN"/>
        </w:rPr>
        <w:t>Įstatymo priedėlio pakeitimas</w:t>
      </w:r>
    </w:p>
    <w:p>
      <w:pPr>
        <w:suppressAutoHyphens/>
        <w:spacing w:line="360" w:lineRule="auto"/>
        <w:ind w:firstLine="720"/>
        <w:jc w:val="both"/>
        <w:rPr>
          <w:rFonts w:ascii="TimesLT" w:hAnsi="TimesLT"/>
          <w:szCs w:val="24"/>
          <w:lang w:val="en-US" w:eastAsia="zh-CN"/>
        </w:rPr>
      </w:pPr>
      <w:r>
        <w:rPr>
          <w:szCs w:val="24"/>
          <w:lang w:eastAsia="zh-CN"/>
        </w:rPr>
        <w:t>Pakeisti Įstatymo priedėlio IV skyriaus „Valstybės pareigūnų pareiginės algos“ 6 punktą ir jį išdėstyti taip</w:t>
      </w:r>
      <w:r>
        <w:rPr>
          <w:rFonts w:ascii="TimesLT" w:hAnsi="TimesLT"/>
          <w:szCs w:val="24"/>
          <w:lang w:val="en-US" w:eastAsia="zh-CN"/>
        </w:rPr>
        <w:t>:</w:t>
      </w:r>
    </w:p>
    <w:p>
      <w:pPr>
        <w:suppressAutoHyphens/>
        <w:ind w:right="-1" w:firstLine="720"/>
        <w:jc w:val="both"/>
        <w:rPr>
          <w:rFonts w:ascii="TimesLT" w:hAnsi="TimesLT"/>
          <w:szCs w:val="24"/>
          <w:lang w:val="en-US" w:eastAsia="zh-CN"/>
        </w:rPr>
      </w:pPr>
    </w:p>
    <w:tbl>
      <w:tblPr>
        <w:tblW w:w="501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4"/>
        <w:gridCol w:w="5527"/>
        <w:gridCol w:w="2976"/>
      </w:tblGrid>
      <w:tr>
        <w:trPr>
          <w:trHeight w:val="60"/>
          <w:tblHeader/>
        </w:trPr>
        <w:tc>
          <w:tcPr>
            <w:tcW w:w="523" w:type="pct"/>
            <w:tcMar>
              <w:top w:w="28" w:type="dxa"/>
              <w:left w:w="57" w:type="dxa"/>
              <w:bottom w:w="28" w:type="dxa"/>
              <w:right w:w="57" w:type="dxa"/>
            </w:tcMar>
            <w:hideMark/>
          </w:tcPr>
          <w:p>
            <w:pPr>
              <w:jc w:val="center"/>
              <w:rPr>
                <w:szCs w:val="24"/>
              </w:rPr>
            </w:pPr>
            <w:r>
              <w:rPr>
                <w:szCs w:val="24"/>
              </w:rPr>
              <w:t>„6.</w:t>
            </w:r>
          </w:p>
        </w:tc>
        <w:tc>
          <w:tcPr>
            <w:tcW w:w="2910" w:type="pct"/>
            <w:tcMar>
              <w:top w:w="28" w:type="dxa"/>
              <w:left w:w="57" w:type="dxa"/>
              <w:bottom w:w="28" w:type="dxa"/>
              <w:right w:w="57" w:type="dxa"/>
            </w:tcMar>
            <w:hideMark/>
          </w:tcPr>
          <w:p>
            <w:pPr>
              <w:rPr>
                <w:szCs w:val="24"/>
              </w:rPr>
            </w:pPr>
            <w:r>
              <w:rPr>
                <w:szCs w:val="24"/>
              </w:rPr>
              <w:t>Seimo, Seimo Pirmininko, Respublikos Prezidento ar Ministro Pirmininko paskirtų institucijų – Konkurencijos tarybos, Lietuvos radijo ir televizijos komisijos, Lietuvos kultūros tarybos, Viešųjų pirkimų tarnybos, Ryšių reguliavimo tarnybos, Valstybinės kainų ir energetikos kontrolės komisijos ir Vyriausiosios tarnybinės etikos komisijos, Valstybinės lietuvių kalbos komisijos:</w:t>
            </w:r>
          </w:p>
        </w:tc>
        <w:tc>
          <w:tcPr>
            <w:tcW w:w="1567" w:type="pct"/>
            <w:tcMar>
              <w:top w:w="28" w:type="dxa"/>
              <w:left w:w="57" w:type="dxa"/>
              <w:bottom w:w="28" w:type="dxa"/>
              <w:right w:w="57" w:type="dxa"/>
            </w:tcMar>
            <w:hideMark/>
          </w:tcPr>
          <w:p>
            <w:pPr>
              <w:rPr>
                <w:szCs w:val="24"/>
              </w:rPr>
            </w:pPr>
          </w:p>
        </w:tc>
      </w:tr>
      <w:tr>
        <w:trPr>
          <w:trHeight w:val="60"/>
          <w:tblHeader/>
        </w:trPr>
        <w:tc>
          <w:tcPr>
            <w:tcW w:w="523" w:type="pct"/>
            <w:tcMar>
              <w:top w:w="28" w:type="dxa"/>
              <w:left w:w="57" w:type="dxa"/>
              <w:bottom w:w="28" w:type="dxa"/>
              <w:right w:w="57" w:type="dxa"/>
            </w:tcMar>
            <w:hideMark/>
          </w:tcPr>
          <w:p>
            <w:pPr>
              <w:jc w:val="center"/>
              <w:rPr>
                <w:szCs w:val="24"/>
              </w:rPr>
            </w:pPr>
            <w:r>
              <w:rPr>
                <w:szCs w:val="24"/>
              </w:rPr>
              <w:t>6.1.</w:t>
            </w:r>
          </w:p>
        </w:tc>
        <w:tc>
          <w:tcPr>
            <w:tcW w:w="2910" w:type="pct"/>
            <w:tcMar>
              <w:top w:w="28" w:type="dxa"/>
              <w:left w:w="57" w:type="dxa"/>
              <w:bottom w:w="28" w:type="dxa"/>
              <w:right w:w="57" w:type="dxa"/>
            </w:tcMar>
            <w:hideMark/>
          </w:tcPr>
          <w:p>
            <w:pPr>
              <w:rPr>
                <w:szCs w:val="24"/>
              </w:rPr>
            </w:pPr>
            <w:r>
              <w:rPr>
                <w:szCs w:val="24"/>
              </w:rPr>
              <w:t>pirmininkai ar direktoriai</w:t>
            </w:r>
          </w:p>
        </w:tc>
        <w:tc>
          <w:tcPr>
            <w:tcW w:w="1567" w:type="pct"/>
            <w:tcMar>
              <w:top w:w="28" w:type="dxa"/>
              <w:left w:w="57" w:type="dxa"/>
              <w:bottom w:w="28" w:type="dxa"/>
              <w:right w:w="57" w:type="dxa"/>
            </w:tcMar>
            <w:hideMark/>
          </w:tcPr>
          <w:p>
            <w:pPr>
              <w:jc w:val="center"/>
              <w:rPr>
                <w:szCs w:val="24"/>
              </w:rPr>
            </w:pPr>
            <w:r>
              <w:rPr>
                <w:szCs w:val="24"/>
              </w:rPr>
              <w:t>12,3</w:t>
            </w:r>
          </w:p>
        </w:tc>
      </w:tr>
      <w:tr>
        <w:trPr>
          <w:trHeight w:val="60"/>
          <w:tblHeader/>
        </w:trPr>
        <w:tc>
          <w:tcPr>
            <w:tcW w:w="523" w:type="pct"/>
            <w:tcMar>
              <w:top w:w="28" w:type="dxa"/>
              <w:left w:w="57" w:type="dxa"/>
              <w:bottom w:w="28" w:type="dxa"/>
              <w:right w:w="57" w:type="dxa"/>
            </w:tcMar>
            <w:hideMark/>
          </w:tcPr>
          <w:p>
            <w:pPr>
              <w:jc w:val="center"/>
              <w:rPr>
                <w:szCs w:val="24"/>
              </w:rPr>
            </w:pPr>
            <w:r>
              <w:rPr>
                <w:szCs w:val="24"/>
              </w:rPr>
              <w:t>6.2.</w:t>
            </w:r>
          </w:p>
        </w:tc>
        <w:tc>
          <w:tcPr>
            <w:tcW w:w="2910" w:type="pct"/>
            <w:tcMar>
              <w:top w:w="28" w:type="dxa"/>
              <w:left w:w="57" w:type="dxa"/>
              <w:bottom w:w="28" w:type="dxa"/>
              <w:right w:w="57" w:type="dxa"/>
            </w:tcMar>
            <w:hideMark/>
          </w:tcPr>
          <w:p>
            <w:pPr>
              <w:rPr>
                <w:szCs w:val="24"/>
              </w:rPr>
            </w:pPr>
            <w:r>
              <w:rPr>
                <w:szCs w:val="24"/>
              </w:rPr>
              <w:t>pavaduotojai</w:t>
            </w:r>
          </w:p>
        </w:tc>
        <w:tc>
          <w:tcPr>
            <w:tcW w:w="1567" w:type="pct"/>
            <w:tcMar>
              <w:top w:w="28" w:type="dxa"/>
              <w:left w:w="57" w:type="dxa"/>
              <w:bottom w:w="28" w:type="dxa"/>
              <w:right w:w="57" w:type="dxa"/>
            </w:tcMar>
            <w:hideMark/>
          </w:tcPr>
          <w:p>
            <w:pPr>
              <w:jc w:val="center"/>
              <w:rPr>
                <w:szCs w:val="24"/>
              </w:rPr>
            </w:pPr>
            <w:r>
              <w:rPr>
                <w:szCs w:val="24"/>
              </w:rPr>
              <w:t>11</w:t>
            </w:r>
          </w:p>
        </w:tc>
      </w:tr>
      <w:tr>
        <w:trPr>
          <w:trHeight w:val="60"/>
          <w:tblHeader/>
        </w:trPr>
        <w:tc>
          <w:tcPr>
            <w:tcW w:w="523" w:type="pct"/>
            <w:tcMar>
              <w:top w:w="28" w:type="dxa"/>
              <w:left w:w="57" w:type="dxa"/>
              <w:bottom w:w="28" w:type="dxa"/>
              <w:right w:w="57" w:type="dxa"/>
            </w:tcMar>
            <w:hideMark/>
          </w:tcPr>
          <w:p>
            <w:pPr>
              <w:jc w:val="center"/>
              <w:rPr>
                <w:szCs w:val="24"/>
              </w:rPr>
            </w:pPr>
            <w:r>
              <w:rPr>
                <w:szCs w:val="24"/>
              </w:rPr>
              <w:t>6.3.</w:t>
            </w:r>
          </w:p>
        </w:tc>
        <w:tc>
          <w:tcPr>
            <w:tcW w:w="2910" w:type="pct"/>
            <w:tcMar>
              <w:top w:w="28" w:type="dxa"/>
              <w:left w:w="57" w:type="dxa"/>
              <w:bottom w:w="28" w:type="dxa"/>
              <w:right w:w="57" w:type="dxa"/>
            </w:tcMar>
            <w:hideMark/>
          </w:tcPr>
          <w:p>
            <w:pPr>
              <w:rPr>
                <w:szCs w:val="24"/>
              </w:rPr>
            </w:pPr>
            <w:r>
              <w:rPr>
                <w:szCs w:val="24"/>
              </w:rPr>
              <w:t>nariai</w:t>
            </w:r>
          </w:p>
        </w:tc>
        <w:tc>
          <w:tcPr>
            <w:tcW w:w="1567" w:type="pct"/>
            <w:tcMar>
              <w:top w:w="28" w:type="dxa"/>
              <w:left w:w="57" w:type="dxa"/>
              <w:bottom w:w="28" w:type="dxa"/>
              <w:right w:w="57" w:type="dxa"/>
            </w:tcMar>
            <w:hideMark/>
          </w:tcPr>
          <w:p>
            <w:pPr>
              <w:jc w:val="center"/>
              <w:rPr>
                <w:szCs w:val="24"/>
              </w:rPr>
            </w:pPr>
            <w:r>
              <w:rPr>
                <w:szCs w:val="24"/>
              </w:rPr>
              <w:t>9,5“</w:t>
            </w:r>
          </w:p>
        </w:tc>
      </w:tr>
    </w:tbl>
    <w:p>
      <w:pPr>
        <w:suppressAutoHyphens/>
        <w:ind w:right="-1" w:firstLine="720"/>
        <w:jc w:val="both"/>
        <w:rPr>
          <w:rFonts w:ascii="TimesLT" w:hAnsi="TimesLT"/>
          <w:b/>
          <w:szCs w:val="24"/>
          <w:lang w:val="en-US" w:eastAsia="zh-CN"/>
        </w:rPr>
      </w:pPr>
    </w:p>
    <w:p>
      <w:pPr>
        <w:suppressAutoHyphens/>
        <w:spacing w:line="360" w:lineRule="auto"/>
        <w:ind w:firstLine="720"/>
        <w:rPr>
          <w:bCs/>
          <w:lang w:eastAsia="zh-CN"/>
        </w:rPr>
      </w:pPr>
      <w:r>
        <w:rPr>
          <w:b/>
          <w:szCs w:val="24"/>
          <w:lang w:eastAsia="zh-CN"/>
        </w:rPr>
        <w:t>2</w:t>
      </w:r>
      <w:r>
        <w:rPr>
          <w:b/>
          <w:szCs w:val="24"/>
          <w:lang w:eastAsia="zh-CN"/>
        </w:rPr>
        <w:t xml:space="preserve"> straipsnis. </w:t>
      </w:r>
      <w:r>
        <w:rPr>
          <w:b/>
          <w:szCs w:val="24"/>
          <w:lang w:eastAsia="zh-CN"/>
        </w:rPr>
        <w:t>Į</w:t>
      </w:r>
      <w:r>
        <w:rPr>
          <w:b/>
          <w:bCs/>
          <w:szCs w:val="24"/>
          <w:lang w:eastAsia="zh-CN"/>
        </w:rPr>
        <w:t>statymo įsigaliojimas</w:t>
      </w:r>
    </w:p>
    <w:p>
      <w:pPr>
        <w:suppressAutoHyphens/>
        <w:spacing w:line="360" w:lineRule="auto"/>
        <w:ind w:firstLine="720"/>
        <w:jc w:val="both"/>
        <w:rPr>
          <w:bCs/>
          <w:szCs w:val="24"/>
          <w:lang w:eastAsia="zh-CN"/>
        </w:rPr>
      </w:pPr>
      <w:r>
        <w:rPr>
          <w:bCs/>
          <w:szCs w:val="24"/>
          <w:lang w:eastAsia="zh-CN"/>
        </w:rPr>
        <w:t xml:space="preserve">Šis įstatymas įsigalioja 2019 m. sausio 1 d.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869</Characters>
  <Application>Microsoft Office Word</Application>
  <DocSecurity>4</DocSecurity>
  <Lines>45</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965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2018-12-28T12:30:00Z</dcterms:created>
  <dc:creator>MOZERIENĖ Dainora</dc:creator>
  <lastModifiedBy>adlibuser</lastModifiedBy>
  <lastPrinted>2004-12-10T05:45:00Z</lastPrinted>
  <dcterms:modified xsi:type="dcterms:W3CDTF">2018-12-28T12:30:00Z</dcterms:modified>
  <revision>2</revision>
</coreProperties>
</file>