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74" w:rsidRDefault="009D1B7A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240BC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pt" o:ole="" fillcolor="window">
            <v:imagedata r:id="rId8" o:title=""/>
          </v:shape>
          <o:OLEObject Type="Embed" ProgID="Word.Picture.8" ShapeID="_x0000_i1025" DrawAspect="Content" ObjectID="_1668434265" r:id="rId9"/>
        </w:object>
      </w:r>
    </w:p>
    <w:p w:rsidR="00857874" w:rsidRDefault="0085787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:rsidR="00857874" w:rsidRDefault="009D1B7A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857874" w:rsidRDefault="0085787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:rsidR="00857874" w:rsidRDefault="009D1B7A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b/>
          <w:bCs/>
          <w:szCs w:val="24"/>
        </w:rPr>
        <w:t>ĮSAKYMAS</w:t>
      </w:r>
    </w:p>
    <w:p w:rsidR="00857874" w:rsidRDefault="009D1B7A">
      <w:pPr>
        <w:tabs>
          <w:tab w:val="left" w:pos="630"/>
        </w:tabs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SVEIKATOS APSAUGOS MINISTRO </w:t>
      </w:r>
      <w:smartTag w:uri="urn:schemas-microsoft-com:office:smarttags" w:element="metricconverter">
        <w:smartTagPr>
          <w:attr w:name="ProductID" w:val="2002 m"/>
        </w:smartTagPr>
        <w:r>
          <w:rPr>
            <w:b/>
            <w:szCs w:val="24"/>
          </w:rPr>
          <w:t>2002 M</w:t>
        </w:r>
      </w:smartTag>
      <w:r>
        <w:rPr>
          <w:b/>
          <w:szCs w:val="24"/>
        </w:rPr>
        <w:t xml:space="preserve">. RUGSĖJO 23 D. ĮSAKYMO </w:t>
      </w:r>
      <w:r>
        <w:rPr>
          <w:b/>
          <w:iCs/>
          <w:szCs w:val="24"/>
        </w:rPr>
        <w:t>NR. 468</w:t>
      </w:r>
      <w:r>
        <w:rPr>
          <w:b/>
          <w:szCs w:val="24"/>
        </w:rPr>
        <w:t xml:space="preserve"> „</w:t>
      </w:r>
      <w:r>
        <w:rPr>
          <w:b/>
          <w:bCs/>
          <w:szCs w:val="24"/>
        </w:rPr>
        <w:t xml:space="preserve">DĖL </w:t>
      </w:r>
      <w:r>
        <w:rPr>
          <w:b/>
          <w:bCs/>
          <w:szCs w:val="24"/>
        </w:rPr>
        <w:t>IMUNOPROFILAKTIKOS ORGANIZAVIMO IR ATLIKIMO TVARKOS APRAŠO PATVIRTINIMO</w:t>
      </w:r>
      <w:r>
        <w:rPr>
          <w:szCs w:val="24"/>
        </w:rPr>
        <w:t xml:space="preserve">“ </w:t>
      </w:r>
      <w:r>
        <w:rPr>
          <w:b/>
          <w:szCs w:val="24"/>
        </w:rPr>
        <w:t>PAKEITIMO</w:t>
      </w:r>
    </w:p>
    <w:p w:rsidR="00857874" w:rsidRDefault="00857874">
      <w:pPr>
        <w:jc w:val="center"/>
        <w:rPr>
          <w:szCs w:val="24"/>
        </w:rPr>
      </w:pPr>
    </w:p>
    <w:p w:rsidR="00857874" w:rsidRDefault="009D1B7A">
      <w:pPr>
        <w:jc w:val="center"/>
        <w:rPr>
          <w:szCs w:val="24"/>
        </w:rPr>
      </w:pPr>
      <w:r>
        <w:rPr>
          <w:szCs w:val="24"/>
        </w:rPr>
        <w:t xml:space="preserve">2020 m. gruodžio 2 d. </w:t>
      </w:r>
      <w:r>
        <w:rPr>
          <w:szCs w:val="24"/>
        </w:rPr>
        <w:t>Nr. V-2782</w:t>
      </w:r>
    </w:p>
    <w:p w:rsidR="00857874" w:rsidRDefault="009D1B7A">
      <w:pPr>
        <w:jc w:val="center"/>
        <w:rPr>
          <w:szCs w:val="24"/>
        </w:rPr>
      </w:pPr>
      <w:r>
        <w:rPr>
          <w:szCs w:val="24"/>
        </w:rPr>
        <w:t>Vilnius</w:t>
      </w:r>
    </w:p>
    <w:p w:rsidR="00857874" w:rsidRDefault="00857874">
      <w:pPr>
        <w:ind w:firstLine="851"/>
        <w:jc w:val="center"/>
        <w:rPr>
          <w:szCs w:val="24"/>
        </w:rPr>
      </w:pPr>
    </w:p>
    <w:p w:rsidR="00857874" w:rsidRDefault="009D1B7A">
      <w:pPr>
        <w:tabs>
          <w:tab w:val="left" w:pos="851"/>
        </w:tabs>
        <w:ind w:firstLine="851"/>
        <w:jc w:val="both"/>
        <w:rPr>
          <w:szCs w:val="24"/>
        </w:rPr>
      </w:pPr>
      <w:r w:rsidRPr="009D1B7A">
        <w:rPr>
          <w:szCs w:val="24"/>
        </w:rPr>
        <w:t>1</w:t>
      </w:r>
      <w:r w:rsidRPr="009D1B7A">
        <w:rPr>
          <w:szCs w:val="24"/>
        </w:rPr>
        <w:t xml:space="preserve">. </w:t>
      </w:r>
      <w:r>
        <w:rPr>
          <w:szCs w:val="24"/>
        </w:rPr>
        <w:t xml:space="preserve">P a k e i č i u Imunoprofilaktikos organizavimo ir atlikimo tvarkos aprašą, patvirtintą Lietuvos Respublikos sveikatos apsaugos </w:t>
      </w:r>
      <w:r>
        <w:rPr>
          <w:szCs w:val="24"/>
        </w:rPr>
        <w:t>ministro 2002 m. rugsėjo 23 d. įsakymu Nr. 468 „Dėl Imunoprofilaktikos organizavimo ir atlikimo tvarkos aprašo patvirtinimo“:</w:t>
      </w:r>
    </w:p>
    <w:p w:rsidR="00857874" w:rsidRDefault="009D1B7A">
      <w:pPr>
        <w:tabs>
          <w:tab w:val="left" w:pos="851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1.1</w:t>
      </w:r>
      <w:r>
        <w:rPr>
          <w:color w:val="000000"/>
          <w:szCs w:val="24"/>
        </w:rPr>
        <w:t>. Pakeičiu 2 punktą ir jį išdėstau taip:</w:t>
      </w:r>
    </w:p>
    <w:p w:rsidR="00857874" w:rsidRDefault="009D1B7A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bCs/>
          <w:color w:val="000000"/>
          <w:szCs w:val="24"/>
        </w:rPr>
        <w:t>2</w:t>
      </w:r>
      <w:r>
        <w:rPr>
          <w:bCs/>
          <w:color w:val="000000"/>
          <w:szCs w:val="24"/>
        </w:rPr>
        <w:t>. Apraše vartojamos sąvokos suprantamos taip, kaip jos apibrėžtos Lietuvos Respu</w:t>
      </w:r>
      <w:r>
        <w:rPr>
          <w:bCs/>
          <w:color w:val="000000"/>
          <w:szCs w:val="24"/>
        </w:rPr>
        <w:t>blikos žmonių užkrečiamųjų ligų profilaktikos ir kontrolės įstatyme, Lietuvos Respublikos asmens sveikatos priežiūros praktikos įstatyme ir Lietuvos Respublikos farmacijos įstatyme.</w:t>
      </w:r>
      <w:r>
        <w:rPr>
          <w:szCs w:val="24"/>
        </w:rPr>
        <w:t>“</w:t>
      </w:r>
    </w:p>
    <w:p w:rsidR="00857874" w:rsidRDefault="009D1B7A">
      <w:pPr>
        <w:tabs>
          <w:tab w:val="left" w:pos="851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1.2</w:t>
      </w:r>
      <w:r>
        <w:rPr>
          <w:color w:val="000000"/>
          <w:szCs w:val="24"/>
        </w:rPr>
        <w:t>. Pakeičiu 7 punktą ir jį išdėstau taip:</w:t>
      </w:r>
    </w:p>
    <w:p w:rsidR="00857874" w:rsidRDefault="009D1B7A">
      <w:pPr>
        <w:ind w:firstLine="851"/>
        <w:jc w:val="both"/>
        <w:rPr>
          <w:bCs/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>. Imunoprofilakti</w:t>
      </w:r>
      <w:r>
        <w:rPr>
          <w:szCs w:val="24"/>
        </w:rPr>
        <w:t xml:space="preserve">ką gali paskirti ir (ar) atlikti gydytojai, slaugytojai, akušeriai ir išplėstinės praktikos vaistininkai, kuriems tokią teisę suteikia jų kompetenciją reglamentuojantys teisės aktai. </w:t>
      </w:r>
      <w:r>
        <w:rPr>
          <w:bCs/>
          <w:szCs w:val="24"/>
        </w:rPr>
        <w:t xml:space="preserve">Imunoprofilaktiką skiriantys slaugytojai ir akušeriai privalo būti baigę </w:t>
      </w:r>
      <w:r>
        <w:rPr>
          <w:bCs/>
          <w:szCs w:val="24"/>
        </w:rPr>
        <w:t>ne trumpesnę nei 20 valandų „Skiepijimo pagrindų“ kvalifikacijos tobulinimo programą ir vėliau tobulinę profesinę kvalifikaciją imunoprofilaktikos srityje po 8 valandas kas 5 metus, skaičiuojant nuo „Skiepijimo pagrindų“ programos baigimo datos. Jei vaikas</w:t>
      </w:r>
      <w:r>
        <w:rPr>
          <w:bCs/>
          <w:szCs w:val="24"/>
        </w:rPr>
        <w:t xml:space="preserve"> skiepijamas pagal individualų skiepijimų kalendorių, imunoprofilaktiką skiria gydytojas.“</w:t>
      </w:r>
    </w:p>
    <w:p w:rsidR="00857874" w:rsidRDefault="009D1B7A">
      <w:pPr>
        <w:ind w:firstLine="851"/>
        <w:jc w:val="both"/>
        <w:rPr>
          <w:bCs/>
          <w:szCs w:val="24"/>
        </w:rPr>
      </w:pPr>
      <w:r>
        <w:rPr>
          <w:color w:val="000000"/>
          <w:szCs w:val="24"/>
        </w:rPr>
        <w:t>1.</w:t>
      </w:r>
      <w:r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>
        <w:rPr>
          <w:color w:val="000000"/>
          <w:szCs w:val="24"/>
        </w:rPr>
        <w:t>Pakeičiu 11.4 papunktį ir jį išdėstau taip:</w:t>
      </w:r>
    </w:p>
    <w:p w:rsidR="00857874" w:rsidRDefault="009D1B7A">
      <w:pPr>
        <w:ind w:firstLine="851"/>
        <w:jc w:val="both"/>
        <w:rPr>
          <w:strike/>
          <w:szCs w:val="24"/>
        </w:rPr>
      </w:pPr>
      <w:r>
        <w:rPr>
          <w:color w:val="000000"/>
        </w:rPr>
        <w:t>„</w:t>
      </w:r>
      <w:r>
        <w:rPr>
          <w:color w:val="000000"/>
        </w:rPr>
        <w:t>11.4</w:t>
      </w:r>
      <w:r>
        <w:rPr>
          <w:color w:val="000000"/>
        </w:rPr>
        <w:t xml:space="preserve">. </w:t>
      </w:r>
      <w:r>
        <w:rPr>
          <w:szCs w:val="24"/>
        </w:rPr>
        <w:t xml:space="preserve">įrašai apie atliktus skiepijimus tvarkomi Elektroninės sveikatos paslaugų ir bendradarbiavimo </w:t>
      </w:r>
      <w:r>
        <w:rPr>
          <w:szCs w:val="24"/>
        </w:rPr>
        <w:t>infrastruktūros informacinėje sistemoje (toliau – ESPBI IS) (pildoma forma E063 „Vakcinacijos įrašas“ vadovaujantis Elektroninės sveikatos paslaugų ir bendradarbiavimo infrastruktūros informacinės sistemos naudojimo tvarkos aprašu, patvirtintu Lietuvos Res</w:t>
      </w:r>
      <w:r>
        <w:rPr>
          <w:szCs w:val="24"/>
        </w:rPr>
        <w:t>publikos sveikatos apsaugos ministro 2015 m. gegužės 26 d. įsakymu Nr. V-657 „Dėl Elektroninės sveikatos paslaugų ir bendradarbiavimo infrastruktūros informacinės sistemos naudojimo tvarkos aprašo patvirtinimo“), išskyrus atvejus, kai dėl</w:t>
      </w:r>
      <w:r>
        <w:rPr>
          <w:szCs w:val="24"/>
          <w:lang w:eastAsia="lt-LT"/>
        </w:rPr>
        <w:t xml:space="preserve"> ASPĮ informacinės</w:t>
      </w:r>
      <w:r>
        <w:rPr>
          <w:szCs w:val="24"/>
          <w:lang w:eastAsia="lt-LT"/>
        </w:rPr>
        <w:t xml:space="preserve"> sistemos (toliau – ASPĮ </w:t>
      </w:r>
      <w:r>
        <w:rPr>
          <w:szCs w:val="24"/>
        </w:rPr>
        <w:t>IS) ir (ar) ESPBI IS veikimo sutrikimų nėra galimybės paciento sveikatos duomenų tvarkyti elektroniniu būdu. Šiuo atveju ASPĮ privalo užtikrinti pacientų sveikatos duomenų fiksavimą rašytiniu būdu, užpildydamos įrašus Vaiko sveikat</w:t>
      </w:r>
      <w:r>
        <w:rPr>
          <w:szCs w:val="24"/>
        </w:rPr>
        <w:t>os raidos istorijoje (forma Nr. 025-112/a) arba Ambulatorinėje asmens sveikatos istorijoje (forma Nr. 025/a), patvirtintose Lietuvos Respublikos sveikatos apsaugos ministro 2014 m. sausio 27 d. įsakymu Nr. V-120 „Dėl privalomų sveikatos statistikos apskait</w:t>
      </w:r>
      <w:r>
        <w:rPr>
          <w:szCs w:val="24"/>
        </w:rPr>
        <w:t xml:space="preserve">os ir kitų tipinių formų bei privalomų sveikatos statistikos ataskaitos formų patvirtinimo“ (toliau – Įsakymas Nr. V-120). Pašalinus ASPĮ IS ar ESPBI IS veikimo sutrikimus, rašytine forma užfiksuoti paciento sveikatos duomenys turi būti pateikiami į ESPBI </w:t>
      </w:r>
      <w:r>
        <w:rPr>
          <w:szCs w:val="24"/>
        </w:rPr>
        <w:t xml:space="preserve">IS, prie suvedamų duomenų nurodant, kad duomenys pateikiami iš popierinio dokumento atitikmens. Duomenų suvedimą iš popierinio dokumento atitikmens ASPĮ organizuoja vadovo nustatyta tvarka. Taip pat skiepijimus registruoja </w:t>
      </w:r>
      <w:r>
        <w:rPr>
          <w:color w:val="000000"/>
        </w:rPr>
        <w:t>Profilaktinių skiepijimų registra</w:t>
      </w:r>
      <w:r>
        <w:rPr>
          <w:color w:val="000000"/>
        </w:rPr>
        <w:t xml:space="preserve">vimo žurnale (forma Nr. 064/a), patvirtintame </w:t>
      </w:r>
      <w:r>
        <w:rPr>
          <w:szCs w:val="24"/>
        </w:rPr>
        <w:t xml:space="preserve">Įsakymu Nr. V-120, bei atlieka įrašus Skiepijimo pažymėjime, patvirtintame Lietuvos Respublikos sveikatos </w:t>
      </w:r>
      <w:r>
        <w:rPr>
          <w:szCs w:val="24"/>
        </w:rPr>
        <w:lastRenderedPageBreak/>
        <w:t xml:space="preserve">apsaugos ministro </w:t>
      </w:r>
      <w:smartTag w:uri="urn:schemas-microsoft-com:office:smarttags" w:element="metricconverter">
        <w:smartTagPr>
          <w:attr w:name="ProductID" w:val="2012 m"/>
        </w:smartTagPr>
        <w:r>
          <w:rPr>
            <w:szCs w:val="24"/>
          </w:rPr>
          <w:t>2012 m</w:t>
        </w:r>
      </w:smartTag>
      <w:r>
        <w:rPr>
          <w:szCs w:val="24"/>
        </w:rPr>
        <w:t>. birželio 14 d. įsakymu Nr.  V-528 „Dėl Skiepijimo pažymėjimo įsigijimo, pildym</w:t>
      </w:r>
      <w:r>
        <w:rPr>
          <w:szCs w:val="24"/>
        </w:rPr>
        <w:t>o ir išdavimo tvarkos aprašo patvirtinimo“, pacientui pageidaujant, Tarptautinio skiepijimo ar profilaktikos priemonių pažymėjime, patvirtintame Lietuvos Respublikos sveikatos apsaugos ministro 2011 m. gruodžio 2 d. įsakymu Nr. V-1032 „Dėl Tarptautinio ski</w:t>
      </w:r>
      <w:r>
        <w:rPr>
          <w:szCs w:val="24"/>
        </w:rPr>
        <w:t>epijimo ar profilaktikos priemonių pažymėjimo pildymo ir išdavimo tvarkos aprašo patvirtinimo“.</w:t>
      </w:r>
      <w:r>
        <w:rPr>
          <w:b/>
          <w:bCs/>
          <w:szCs w:val="24"/>
        </w:rPr>
        <w:t xml:space="preserve"> </w:t>
      </w:r>
      <w:r>
        <w:rPr>
          <w:szCs w:val="24"/>
        </w:rPr>
        <w:t>ASPĮ turi užtikrinti, kad pacientas užpildytų asmens sveikatos priežiūros vadovo patvirtintą sutikimo skiepytis formą;“.</w:t>
      </w:r>
    </w:p>
    <w:p w:rsidR="00857874" w:rsidRDefault="009D1B7A">
      <w:pPr>
        <w:ind w:firstLine="851"/>
        <w:jc w:val="both"/>
        <w:rPr>
          <w:bCs/>
          <w:szCs w:val="24"/>
        </w:rPr>
      </w:pPr>
      <w:r>
        <w:rPr>
          <w:color w:val="000000"/>
          <w:szCs w:val="24"/>
        </w:rPr>
        <w:t>1.</w:t>
      </w:r>
      <w:r>
        <w:rPr>
          <w:bCs/>
          <w:szCs w:val="24"/>
        </w:rPr>
        <w:t>4</w:t>
      </w:r>
      <w:r>
        <w:rPr>
          <w:bCs/>
          <w:szCs w:val="24"/>
        </w:rPr>
        <w:t xml:space="preserve">. </w:t>
      </w:r>
      <w:r>
        <w:rPr>
          <w:color w:val="000000"/>
          <w:szCs w:val="24"/>
        </w:rPr>
        <w:t xml:space="preserve">Pakeičiu 11.7 papunktį ir </w:t>
      </w:r>
      <w:r>
        <w:rPr>
          <w:color w:val="000000"/>
          <w:szCs w:val="24"/>
        </w:rPr>
        <w:t>jį išdėstau taip:</w:t>
      </w:r>
    </w:p>
    <w:p w:rsidR="00857874" w:rsidRDefault="009D1B7A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11.7</w:t>
      </w:r>
      <w:r>
        <w:rPr>
          <w:bCs/>
          <w:szCs w:val="24"/>
        </w:rPr>
        <w:t xml:space="preserve">. asmenims, kurie dėl įvairių priežasčių nebuvo paskiepyti pagal tuo metu galiojusį Lietuvos Respublikos vaikų profilaktinių skiepijimų kalendorių, sudaro individualius skiepijimo planus, atsižvelgiant į skiepijamo asmens amžių ir </w:t>
      </w:r>
      <w:r>
        <w:rPr>
          <w:bCs/>
          <w:szCs w:val="24"/>
        </w:rPr>
        <w:t>skiepijimo indikacijas, nurodytas imuninio vaistinio preparato charakteristikų santraukoje, ir tai užpildo ESPBI IS (pildoma forma E025), išskyrus atvejus, kai dėl</w:t>
      </w:r>
      <w:r>
        <w:rPr>
          <w:bCs/>
          <w:szCs w:val="24"/>
          <w:lang w:eastAsia="lt-LT"/>
        </w:rPr>
        <w:t xml:space="preserve"> ASPĮ </w:t>
      </w:r>
      <w:r>
        <w:rPr>
          <w:bCs/>
          <w:szCs w:val="24"/>
        </w:rPr>
        <w:t>IS ir ESPBI IS veikimo sutrikimų nėra galimybės paciento sveikatos duomenų tvarkyti ele</w:t>
      </w:r>
      <w:r>
        <w:rPr>
          <w:bCs/>
          <w:szCs w:val="24"/>
        </w:rPr>
        <w:t>ktroniniu būdu. Šiuo atveju ASPĮ privalo užtikrinti pacientų sveikatos duomenų fiksavimą rašytiniu būdu, užpildydama įrašus Vaiko sveikatos raidos istorijoje (forma Nr. 025-112/a) arba Ambulatorinėje asmens sveikatos istorijoje (forma Nr. 025/a), patvirtin</w:t>
      </w:r>
      <w:r>
        <w:rPr>
          <w:bCs/>
          <w:szCs w:val="24"/>
        </w:rPr>
        <w:t>tose Įsakymu Nr. V-120.“</w:t>
      </w:r>
    </w:p>
    <w:p w:rsidR="00857874" w:rsidRDefault="009D1B7A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bCs/>
          <w:szCs w:val="24"/>
        </w:rPr>
        <w:t>5</w:t>
      </w:r>
      <w:r>
        <w:rPr>
          <w:bCs/>
          <w:szCs w:val="24"/>
        </w:rPr>
        <w:t xml:space="preserve">. Pakeičiu </w:t>
      </w:r>
      <w:r>
        <w:rPr>
          <w:color w:val="000000"/>
          <w:szCs w:val="24"/>
        </w:rPr>
        <w:t>12 punktą ir jį išdėstau taip:</w:t>
      </w:r>
    </w:p>
    <w:p w:rsidR="00857874" w:rsidRDefault="009D1B7A">
      <w:pPr>
        <w:ind w:firstLine="851"/>
        <w:jc w:val="both"/>
        <w:rPr>
          <w:bCs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</w:rPr>
        <w:t>12</w:t>
      </w:r>
      <w:r>
        <w:rPr>
          <w:color w:val="000000"/>
        </w:rPr>
        <w:t xml:space="preserve">. Atliekant </w:t>
      </w:r>
      <w:proofErr w:type="spellStart"/>
      <w:r>
        <w:rPr>
          <w:color w:val="000000"/>
        </w:rPr>
        <w:t>poekspozicinę</w:t>
      </w:r>
      <w:proofErr w:type="spellEnd"/>
      <w:r>
        <w:rPr>
          <w:color w:val="000000"/>
        </w:rPr>
        <w:t xml:space="preserve"> pasiutligės imunoprofilaktiką, pirmoji vakcinos dozė skiepijama ASPĮ, kur buvo paskirta </w:t>
      </w:r>
      <w:proofErr w:type="spellStart"/>
      <w:r>
        <w:rPr>
          <w:color w:val="000000"/>
        </w:rPr>
        <w:t>poekspozicinė</w:t>
      </w:r>
      <w:proofErr w:type="spellEnd"/>
      <w:r>
        <w:rPr>
          <w:color w:val="000000"/>
        </w:rPr>
        <w:t xml:space="preserve"> pasiutligės imunoprofilaktika. Likusios pasiu</w:t>
      </w:r>
      <w:r>
        <w:rPr>
          <w:color w:val="000000"/>
        </w:rPr>
        <w:t xml:space="preserve">tligės imuninių vaistinių preparatų dozės skiepijamos toje pačioje arba gali būti tęsiamos kitoje ASPĮ. Pacientui atsisakius ar pareiškus norą savavališkai nutraukti </w:t>
      </w:r>
      <w:proofErr w:type="spellStart"/>
      <w:r>
        <w:rPr>
          <w:color w:val="000000"/>
        </w:rPr>
        <w:t>poekspozicinę</w:t>
      </w:r>
      <w:proofErr w:type="spellEnd"/>
      <w:r>
        <w:rPr>
          <w:color w:val="000000"/>
        </w:rPr>
        <w:t xml:space="preserve"> pasiutligės imunoprofilaktiką, jam turi būti paaiškinta rizika ir galimos pa</w:t>
      </w:r>
      <w:r>
        <w:rPr>
          <w:color w:val="000000"/>
        </w:rPr>
        <w:t>sekmės ir atsisakymas įrašomas Ambulatorinėje asmens sveikatos istorijoje (forma Nr. 025/a) arba Vaiko sveikatos raidos istorijoje (forma Nr. 025-112/a), patvirtintose Įsakymu Nr. V-120), arba Gydymo stacionare ligos istorijoje (forma Nr. 003/a) bei Kreipi</w:t>
      </w:r>
      <w:r>
        <w:rPr>
          <w:color w:val="000000"/>
        </w:rPr>
        <w:t xml:space="preserve">mosi dėl pasiutligės kortelėje (forma Nr. 045/a), pacientas turi pasirašyti savo atsisakymą atlikti </w:t>
      </w:r>
      <w:proofErr w:type="spellStart"/>
      <w:r>
        <w:rPr>
          <w:color w:val="000000"/>
        </w:rPr>
        <w:t>poekspozicinę</w:t>
      </w:r>
      <w:proofErr w:type="spellEnd"/>
      <w:r>
        <w:rPr>
          <w:color w:val="000000"/>
        </w:rPr>
        <w:t xml:space="preserve"> pasiutligės imunoprofilaktiką.“</w:t>
      </w:r>
    </w:p>
    <w:p w:rsidR="00857874" w:rsidRDefault="009D1B7A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1.</w:t>
      </w:r>
      <w:r>
        <w:rPr>
          <w:szCs w:val="24"/>
        </w:rPr>
        <w:t>6</w:t>
      </w:r>
      <w:r>
        <w:rPr>
          <w:szCs w:val="24"/>
        </w:rPr>
        <w:t>. Pakeičiu 1 priedo 2 punktą ir jį išdėstau taip:</w:t>
      </w:r>
    </w:p>
    <w:p w:rsidR="00857874" w:rsidRDefault="009D1B7A">
      <w:pPr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 Būtinos priemonės, atliekant skiepijimus: o</w:t>
      </w:r>
      <w:r>
        <w:rPr>
          <w:szCs w:val="24"/>
        </w:rPr>
        <w:t>dos antiseptikai skirtos priemonės (dezinfekuojančios servetėlės, purškiamos dezinfekcinės priemonės), vienkartinės medicininės pirštinės, vienkartiniai skiepijimo švirkštai, pleistras, rinkinys prieš anafilaksinį šoką, Profilaktinių skiepijimų registravim</w:t>
      </w:r>
      <w:r>
        <w:rPr>
          <w:szCs w:val="24"/>
        </w:rPr>
        <w:t>o žurnalas (forma Nr. 064/a), ataskaitos forma „Profilaktiniai skiepijimai“ (forma Nr. 063/a), Vaiko sveikatos raidos istorija (forma Nr. 025-112/a) arba Ambulatorinė asmens sveikatos istorija (forma Nr. 025/a), patvirtinti Lietuvos Respublikos sveikatos a</w:t>
      </w:r>
      <w:r>
        <w:rPr>
          <w:szCs w:val="24"/>
        </w:rPr>
        <w:t>psaugos ministro 2014 m. sausio 27 d. įsakymu Nr. V-120 „Dėl privalomų sveikatos statistikos apskaitos ir kitų tipinių formų bei privalomų sveikatos statistikos ataskaitos formų patvirtinimo“ (toliau – Įsakymas Nr. V-120), Skiepijimo pažymėjimas, patvirtin</w:t>
      </w:r>
      <w:r>
        <w:rPr>
          <w:szCs w:val="24"/>
        </w:rPr>
        <w:t xml:space="preserve">tas Lietuvos Respublikos sveikatos apsaugos ministro </w:t>
      </w:r>
      <w:smartTag w:uri="urn:schemas-microsoft-com:office:smarttags" w:element="metricconverter">
        <w:smartTagPr>
          <w:attr w:name="ProductID" w:val="2012 m"/>
        </w:smartTagPr>
        <w:r>
          <w:rPr>
            <w:szCs w:val="24"/>
          </w:rPr>
          <w:t>2012 m</w:t>
        </w:r>
      </w:smartTag>
      <w:r>
        <w:rPr>
          <w:szCs w:val="24"/>
        </w:rPr>
        <w:t>. birželio 14 d. įsakymu Nr. V-528 „Dėl Skiepijimo pažymėjimo įsigijimo, pildymo ir išdavimo tvarkos aprašo patvirtinimo“ (toliau – Skiepijimo pažymėjimas), Tarptautinio skiepijimo ar profilaktikos</w:t>
      </w:r>
      <w:r>
        <w:rPr>
          <w:szCs w:val="24"/>
        </w:rPr>
        <w:t xml:space="preserve"> priemonių pažymėjimas, patvirtintas Lietuvos Respublikos sveikatos apsaugos ministro 2011 m. gruodžio 2 d. įsakymu Nr. V-1032 „Dėl Tarptautinio skiepijimo ar profilaktikos priemonių pažymėjimo pildymo ir išdavimo tvarkos aprašo patvirtinimo“ (toliau – Tar</w:t>
      </w:r>
      <w:r>
        <w:rPr>
          <w:szCs w:val="24"/>
        </w:rPr>
        <w:t>ptautinio skiepijimo ar profilaktikos priemonių pažymėjimas), asmens sveikatos priežiūros vadovo patvirtinta sutikimo skiepytis forma (toliau − sutikimo skiepytis forma). Turi būti sudarytos sąlygos įrašus apie atlikus skiepijimus tvarkyti Elektroninės sve</w:t>
      </w:r>
      <w:r>
        <w:rPr>
          <w:szCs w:val="24"/>
        </w:rPr>
        <w:t>ikatos paslaugų ir bendradarbiavimo infrastruktūros informacinėje sistemoje (toliau − ESPBI IS).“</w:t>
      </w:r>
    </w:p>
    <w:p w:rsidR="00857874" w:rsidRDefault="009D1B7A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1.</w:t>
      </w:r>
      <w:r>
        <w:rPr>
          <w:szCs w:val="24"/>
        </w:rPr>
        <w:t>7</w:t>
      </w:r>
      <w:r>
        <w:rPr>
          <w:szCs w:val="24"/>
        </w:rPr>
        <w:t>. Pakeičiu 1 priedo 8 punktą ir jį išdėstau taip:</w:t>
      </w:r>
    </w:p>
    <w:p w:rsidR="00857874" w:rsidRDefault="009D1B7A">
      <w:pPr>
        <w:tabs>
          <w:tab w:val="left" w:pos="0"/>
        </w:tabs>
        <w:overflowPunct w:val="0"/>
        <w:ind w:firstLine="851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8</w:t>
      </w:r>
      <w:r>
        <w:rPr>
          <w:szCs w:val="24"/>
        </w:rPr>
        <w:t xml:space="preserve">. </w:t>
      </w:r>
      <w:r>
        <w:rPr>
          <w:color w:val="000000"/>
        </w:rPr>
        <w:t>Užpildomi medicinos dokumentai (</w:t>
      </w:r>
      <w:r>
        <w:rPr>
          <w:color w:val="000000"/>
          <w:spacing w:val="-1"/>
        </w:rPr>
        <w:t>Profilaktinių skiepijimų registravimo žurnalas (forma Nr. 0</w:t>
      </w:r>
      <w:r>
        <w:rPr>
          <w:color w:val="000000"/>
          <w:spacing w:val="-1"/>
        </w:rPr>
        <w:t>64/a), p</w:t>
      </w:r>
      <w:r>
        <w:rPr>
          <w:color w:val="000000"/>
        </w:rPr>
        <w:t xml:space="preserve">atvirtintas Įsakymu Nr. V-120, sutikimo skiepytis forma, </w:t>
      </w:r>
      <w:r>
        <w:rPr>
          <w:color w:val="000000"/>
          <w:spacing w:val="-4"/>
        </w:rPr>
        <w:t xml:space="preserve">Skiepijimo </w:t>
      </w:r>
      <w:r>
        <w:rPr>
          <w:color w:val="000000"/>
          <w:spacing w:val="-4"/>
        </w:rPr>
        <w:lastRenderedPageBreak/>
        <w:t>pažymėjimas</w:t>
      </w:r>
      <w:r>
        <w:rPr>
          <w:color w:val="000000"/>
        </w:rPr>
        <w:t>, pacientui pageidaujant,</w:t>
      </w:r>
      <w:r>
        <w:rPr>
          <w:color w:val="000000"/>
          <w:spacing w:val="-4"/>
        </w:rPr>
        <w:t> </w:t>
      </w:r>
      <w:r>
        <w:rPr>
          <w:color w:val="000000"/>
        </w:rPr>
        <w:t xml:space="preserve">Tarptautinio skiepijimo ar profilaktikos priemonių pažymėjimas. Taip pat atliekami įrašai </w:t>
      </w:r>
      <w:r>
        <w:rPr>
          <w:szCs w:val="24"/>
        </w:rPr>
        <w:t>ESPBI IS (pildoma forma E063 „Vakcinacijos įrašas“ va</w:t>
      </w:r>
      <w:r>
        <w:rPr>
          <w:szCs w:val="24"/>
        </w:rPr>
        <w:t>dovaujantis Elektroninės sveikatos paslaugų ir bendradarbiavimo infrastruktūros informacinės sistemos naudojimo tvarkos aprašu, patvirtintu Lietuvos Respublikos sveikatos apsaugos ministro 2015 m. gegužės 26 d. įsakymu Nr. V-657 „Dėl Elektroninės sveikatos</w:t>
      </w:r>
      <w:r>
        <w:rPr>
          <w:szCs w:val="24"/>
        </w:rPr>
        <w:t xml:space="preserve"> paslaugų ir bendradarbiavimo infrastruktūros informacinės sistemos naudojimo tvarkos aprašo patvirtinimo“), išskyrus atvejus, kai dėl</w:t>
      </w:r>
      <w:r>
        <w:rPr>
          <w:szCs w:val="24"/>
          <w:lang w:eastAsia="lt-LT"/>
        </w:rPr>
        <w:t xml:space="preserve"> asmens sveikatos priežiūros įstaigos (toliau – ASPĮ) informacinės sistemos (toliau – </w:t>
      </w:r>
      <w:r>
        <w:rPr>
          <w:szCs w:val="24"/>
        </w:rPr>
        <w:t>IS) ir (ar) ESPBI IS veikimo sutrikimų nėra galimybės paciento sveikatos duomenų tvarkyti elektroniniu būdu. Šiuo atveju ASPĮ privalo užtikrinti pacientų sveikatos duomenų fiksavimą rašytiniu būdu, užpildydama įrašus Vaiko sveikatos raidos istorijoje (form</w:t>
      </w:r>
      <w:r>
        <w:rPr>
          <w:szCs w:val="24"/>
        </w:rPr>
        <w:t>a Nr. 025-112/a) arba Ambulatorinėje asmens sveikatos istorijoje (forma Nr. 025/a), patvirtintose Įsakymu Nr. V-120. Pašalinus ASPĮ IS ar ESPBI IS veikimo sutrikimus, rašytine forma užfiksuoti paciento sveikatos duomenys turi būti pateikiami į ESPBI IS, pr</w:t>
      </w:r>
      <w:r>
        <w:rPr>
          <w:szCs w:val="24"/>
        </w:rPr>
        <w:t xml:space="preserve">ie suvedamų duomenų nurodant, kad duomenys pateikiami iš popierinio dokumento atitikmens. Duomenų suvedimą iš popierinio dokumento atitikmens ASPĮ organizuoja ASPĮ vadovo nustatyta tvarka.“ </w:t>
      </w:r>
    </w:p>
    <w:p w:rsidR="00857874" w:rsidRDefault="009D1B7A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N u s t a t a u, kad </w:t>
      </w:r>
      <w:r>
        <w:t>šio įsakymo 1.2 papunktis įsiga</w:t>
      </w:r>
      <w:r>
        <w:t xml:space="preserve">lioja 2021 m. kovo 1 d. </w:t>
      </w:r>
    </w:p>
    <w:p w:rsidR="009D1B7A" w:rsidRDefault="009D1B7A">
      <w:pPr>
        <w:tabs>
          <w:tab w:val="center" w:pos="4153"/>
          <w:tab w:val="right" w:pos="8306"/>
        </w:tabs>
      </w:pPr>
    </w:p>
    <w:p w:rsidR="009D1B7A" w:rsidRDefault="009D1B7A">
      <w:pPr>
        <w:tabs>
          <w:tab w:val="center" w:pos="4153"/>
          <w:tab w:val="right" w:pos="8306"/>
        </w:tabs>
      </w:pPr>
    </w:p>
    <w:p w:rsidR="009D1B7A" w:rsidRDefault="009D1B7A">
      <w:pPr>
        <w:tabs>
          <w:tab w:val="center" w:pos="4153"/>
          <w:tab w:val="right" w:pos="8306"/>
        </w:tabs>
      </w:pPr>
    </w:p>
    <w:p w:rsidR="00857874" w:rsidRDefault="009D1B7A">
      <w:pPr>
        <w:tabs>
          <w:tab w:val="center" w:pos="4153"/>
          <w:tab w:val="right" w:pos="8306"/>
        </w:tabs>
        <w:rPr>
          <w:szCs w:val="24"/>
        </w:rPr>
      </w:pPr>
      <w:bookmarkStart w:id="0" w:name="_GoBack"/>
      <w:bookmarkEnd w:id="0"/>
      <w:r>
        <w:rPr>
          <w:szCs w:val="24"/>
        </w:rPr>
        <w:t xml:space="preserve">Laikinai einantis sveikatos apsaugos ministro pareigas                                           Aurelijus </w:t>
      </w:r>
      <w:proofErr w:type="spellStart"/>
      <w:r>
        <w:rPr>
          <w:szCs w:val="24"/>
        </w:rPr>
        <w:t>Veryga</w:t>
      </w:r>
      <w:proofErr w:type="spellEnd"/>
    </w:p>
    <w:p w:rsidR="00857874" w:rsidRDefault="009D1B7A">
      <w:pPr>
        <w:tabs>
          <w:tab w:val="center" w:pos="4153"/>
          <w:tab w:val="right" w:pos="8306"/>
        </w:tabs>
        <w:rPr>
          <w:bCs/>
          <w:szCs w:val="24"/>
        </w:rPr>
      </w:pPr>
    </w:p>
    <w:sectPr w:rsidR="00857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567" w:bottom="1134" w:left="1701" w:header="851" w:footer="113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74" w:rsidRDefault="009D1B7A">
      <w:r>
        <w:separator/>
      </w:r>
    </w:p>
  </w:endnote>
  <w:endnote w:type="continuationSeparator" w:id="0">
    <w:p w:rsidR="00857874" w:rsidRDefault="009D1B7A">
      <w:r>
        <w:continuationSeparator/>
      </w:r>
    </w:p>
  </w:endnote>
  <w:endnote w:type="continuationNotice" w:id="1">
    <w:p w:rsidR="00857874" w:rsidRDefault="00857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74" w:rsidRDefault="00857874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74" w:rsidRDefault="00857874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74" w:rsidRDefault="00857874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74" w:rsidRDefault="009D1B7A">
      <w:r>
        <w:separator/>
      </w:r>
    </w:p>
  </w:footnote>
  <w:footnote w:type="continuationSeparator" w:id="0">
    <w:p w:rsidR="00857874" w:rsidRDefault="009D1B7A">
      <w:r>
        <w:continuationSeparator/>
      </w:r>
    </w:p>
  </w:footnote>
  <w:footnote w:type="continuationNotice" w:id="1">
    <w:p w:rsidR="00857874" w:rsidRDefault="008578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74" w:rsidRDefault="00857874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74" w:rsidRDefault="009D1B7A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3</w:t>
    </w:r>
    <w:r>
      <w:rPr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74" w:rsidRDefault="00857874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857874"/>
    <w:rsid w:val="009D1B7A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7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5894</Words>
  <Characters>3361</Characters>
  <Application>Microsoft Office Word</Application>
  <DocSecurity>0</DocSecurity>
  <Lines>28</Lines>
  <Paragraphs>18</Paragraphs>
  <ScaleCrop>false</ScaleCrop>
  <Company/>
  <LinksUpToDate>false</LinksUpToDate>
  <CharactersWithSpaces>9237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2020-12-02T14:58:00Z</dcterms:created>
  <dc:creator>loginovic</dc:creator>
  <lastModifiedBy>ŠAULYTĖ SKAIRIENĖ Dalia</lastModifiedBy>
  <lastPrinted>2020-08-12T04:52:00Z</lastPrinted>
  <dcterms:modified xsi:type="dcterms:W3CDTF">2020-12-02T15:11:00Z</dcterms:modified>
  <revision>3</revision>
  <dc:title>2001-05-00</dc:title>
</coreProperties>
</file>