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990B" w14:textId="77777777" w:rsidR="000637C4" w:rsidRDefault="00BE716D">
      <w:pPr>
        <w:jc w:val="center"/>
        <w:rPr>
          <w:b/>
          <w:szCs w:val="24"/>
        </w:rPr>
      </w:pPr>
      <w:r>
        <w:rPr>
          <w:b/>
          <w:szCs w:val="24"/>
        </w:rPr>
        <w:object w:dxaOrig="4620" w:dyaOrig="5445" w14:anchorId="7E8799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8" o:title=""/>
          </v:shape>
          <o:OLEObject Type="Embed" ProgID="PBrush" ShapeID="_x0000_i1025" DrawAspect="Content" ObjectID="_1659417977" r:id="rId9"/>
        </w:object>
      </w:r>
    </w:p>
    <w:p w14:paraId="7E87990C" w14:textId="77777777" w:rsidR="000637C4" w:rsidRDefault="000637C4">
      <w:pPr>
        <w:jc w:val="center"/>
        <w:rPr>
          <w:b/>
          <w:szCs w:val="24"/>
        </w:rPr>
      </w:pPr>
    </w:p>
    <w:p w14:paraId="7E87990D" w14:textId="77777777" w:rsidR="000637C4" w:rsidRDefault="00BE716D">
      <w:pPr>
        <w:jc w:val="center"/>
        <w:rPr>
          <w:b/>
          <w:szCs w:val="24"/>
        </w:rPr>
      </w:pPr>
      <w:r>
        <w:rPr>
          <w:b/>
          <w:szCs w:val="24"/>
        </w:rPr>
        <w:t>LIETUVOS RESPUBLIKOS VIDAUS REIKALŲ MINISTRAS</w:t>
      </w:r>
    </w:p>
    <w:p w14:paraId="7E87990E" w14:textId="77777777" w:rsidR="000637C4" w:rsidRDefault="000637C4">
      <w:pPr>
        <w:tabs>
          <w:tab w:val="center" w:pos="4819"/>
          <w:tab w:val="right" w:pos="9638"/>
        </w:tabs>
        <w:jc w:val="center"/>
        <w:rPr>
          <w:rFonts w:eastAsia="Calibri"/>
          <w:szCs w:val="24"/>
        </w:rPr>
      </w:pPr>
    </w:p>
    <w:p w14:paraId="7E87990F" w14:textId="77777777" w:rsidR="000637C4" w:rsidRDefault="00BE716D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ĮSAKYMAS</w:t>
      </w:r>
    </w:p>
    <w:p w14:paraId="7E879910" w14:textId="77777777" w:rsidR="000637C4" w:rsidRDefault="00BE716D">
      <w:pPr>
        <w:keepNext/>
        <w:jc w:val="center"/>
        <w:rPr>
          <w:b/>
          <w:caps/>
          <w:smallCaps/>
          <w:szCs w:val="24"/>
          <w:lang w:eastAsia="lt-LT"/>
        </w:rPr>
      </w:pPr>
      <w:r>
        <w:rPr>
          <w:b/>
          <w:bCs/>
          <w:smallCaps/>
          <w:szCs w:val="24"/>
          <w:lang w:eastAsia="lt-LT"/>
        </w:rPr>
        <w:t xml:space="preserve">DĖL VIDAUS REIKALŲ MINISTRO 2014 M. GRUODŽIO 22 D. ĮSAKYMO NR. 1V-893 „DĖL IŠ EUROPOS SĄJUNGOS STRUKTŪRINIŲ FONDŲ LĖŠŲ BENDRAI FINANSUOJAMŲ REGIONŲ PROJEKTŲ ATRANKOS TVARKOS </w:t>
      </w:r>
      <w:r>
        <w:rPr>
          <w:b/>
          <w:bCs/>
          <w:smallCaps/>
          <w:szCs w:val="24"/>
          <w:lang w:eastAsia="lt-LT"/>
        </w:rPr>
        <w:t>APRAŠO PATVIRTINIMO“ PAKEITIMO</w:t>
      </w:r>
    </w:p>
    <w:p w14:paraId="7E879911" w14:textId="77777777" w:rsidR="000637C4" w:rsidRDefault="000637C4">
      <w:pPr>
        <w:tabs>
          <w:tab w:val="center" w:pos="4819"/>
          <w:tab w:val="right" w:pos="9638"/>
        </w:tabs>
        <w:jc w:val="center"/>
        <w:rPr>
          <w:rFonts w:eastAsia="Calibri"/>
          <w:szCs w:val="24"/>
        </w:rPr>
      </w:pPr>
    </w:p>
    <w:p w14:paraId="7E879912" w14:textId="77777777" w:rsidR="000637C4" w:rsidRDefault="00BE716D">
      <w:pPr>
        <w:tabs>
          <w:tab w:val="center" w:pos="4819"/>
          <w:tab w:val="right" w:pos="9638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2020 m. rugpjūčio 20 d. Nr. 1V-826</w:t>
      </w:r>
    </w:p>
    <w:p w14:paraId="7E879913" w14:textId="77777777" w:rsidR="000637C4" w:rsidRDefault="00BE716D">
      <w:pPr>
        <w:tabs>
          <w:tab w:val="center" w:pos="4819"/>
          <w:tab w:val="right" w:pos="9638"/>
        </w:tabs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Vilnius </w:t>
      </w:r>
    </w:p>
    <w:p w14:paraId="7E879914" w14:textId="77777777" w:rsidR="000637C4" w:rsidRDefault="000637C4">
      <w:pPr>
        <w:tabs>
          <w:tab w:val="left" w:pos="851"/>
          <w:tab w:val="center" w:pos="4819"/>
          <w:tab w:val="right" w:pos="9638"/>
        </w:tabs>
        <w:spacing w:line="360" w:lineRule="auto"/>
        <w:ind w:firstLine="567"/>
        <w:rPr>
          <w:rFonts w:eastAsia="Calibri"/>
          <w:b/>
          <w:szCs w:val="24"/>
        </w:rPr>
      </w:pPr>
    </w:p>
    <w:p w14:paraId="7E879915" w14:textId="77777777" w:rsidR="000637C4" w:rsidRDefault="00BE716D">
      <w:pPr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  <w:r>
        <w:rPr>
          <w:spacing w:val="100"/>
          <w:szCs w:val="24"/>
        </w:rPr>
        <w:t>Pakeičiu</w:t>
      </w:r>
      <w:r>
        <w:rPr>
          <w:szCs w:val="24"/>
        </w:rPr>
        <w:t xml:space="preserve"> Iš Europos Sąjungos struktūrinių fondų lėšų bendrai finansuojamų regionų projektų atrankos tvarkos aprašą, patvirtintą Lietuvos Respublikos vidaus reikalų ministro 2014 m</w:t>
      </w:r>
      <w:r>
        <w:rPr>
          <w:szCs w:val="24"/>
        </w:rPr>
        <w:t>. gruodžio 22 d. įsakymu Nr. 1V-893 „Dėl iš Europos Sąjungos struktūrinių fondų lėšų bendrai finansuojamų regionų projektų atrankos tvarkos aprašo patvirtinimo“:</w:t>
      </w:r>
    </w:p>
    <w:p w14:paraId="7E879916" w14:textId="77777777" w:rsidR="000637C4" w:rsidRDefault="00BE716D">
      <w:pPr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Pakeičiu 21 punktą ir jį išdėstau taip:</w:t>
      </w:r>
    </w:p>
    <w:p w14:paraId="7E879917" w14:textId="77777777" w:rsidR="000637C4" w:rsidRDefault="00BE716D">
      <w:pPr>
        <w:tabs>
          <w:tab w:val="left" w:pos="851"/>
          <w:tab w:val="left" w:pos="993"/>
          <w:tab w:val="left" w:pos="1134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21</w:t>
      </w:r>
      <w:r>
        <w:rPr>
          <w:szCs w:val="24"/>
        </w:rPr>
        <w:t>. Kai, esant Aprašo 20 punkte nurodytoms s</w:t>
      </w:r>
      <w:r>
        <w:rPr>
          <w:szCs w:val="24"/>
        </w:rPr>
        <w:t>ąlygoms, į regiono projektų sąrašą planuojama įtraukti naują 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>) regiono projektą 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>), suėjus Aprašo 6 punkte nustatytam projektinių pasiūlymų pateikimo terminui, regiono plėtros taryba raštu kreipiasi į atsakingą ministeriją dėl sutikimo suplanuoti ne</w:t>
      </w:r>
      <w:r>
        <w:rPr>
          <w:szCs w:val="24"/>
        </w:rPr>
        <w:t>suplanuotą ES fondų lėšų limito dalį regiono projektams finansuoti arba atsakinga ministerija išankstinį sutikimą gali duoti nustatydama priemonės projektų finansavimo sąlygų apraše naują regiono projekto įtraukimo į regiono projektų sąrašą terminą. Region</w:t>
      </w:r>
      <w:r>
        <w:rPr>
          <w:szCs w:val="24"/>
        </w:rPr>
        <w:t xml:space="preserve">o plėtros tarybai gavus atsakingos ministerijos raštą, kuriuo ji pareiškia savo sutikimą ir nurodo jos siūlomą nustatyti regiono projekto įtraukimo į regiono projektų sąrašą terminą arba esant priemonės projektų finansavimo sąlygų apraše nustatytam naujam </w:t>
      </w:r>
      <w:r>
        <w:rPr>
          <w:szCs w:val="24"/>
        </w:rPr>
        <w:t>regiono projekto įtraukimo į regiono projektų sąrašą terminui, kuris negali būti vėlesnis kaip 2020 m. spalio</w:t>
      </w:r>
      <w:r>
        <w:rPr>
          <w:b/>
          <w:szCs w:val="24"/>
        </w:rPr>
        <w:t xml:space="preserve"> </w:t>
      </w:r>
      <w:r>
        <w:rPr>
          <w:szCs w:val="24"/>
        </w:rPr>
        <w:t>30 d., Regioninės plėtros departamento atitinkamos apskrities skyrius patikslina kvietime teikti projektinius pasiūlymus nurodytą projektinių pasi</w:t>
      </w:r>
      <w:r>
        <w:rPr>
          <w:szCs w:val="24"/>
        </w:rPr>
        <w:t>ūlymų pateikimo terminą. Naujai pateikti projektiniai pasiūlymai vertinami ir regiono projektų sąrašo projektas parengiamas vadovaujantis Aprašo II skyriuje nustatyta tvarka. Tokie regiono projektai į regiono projektų sąrašą įtraukiami iki 2020 m. spalio</w:t>
      </w:r>
      <w:r>
        <w:rPr>
          <w:b/>
          <w:szCs w:val="24"/>
        </w:rPr>
        <w:t xml:space="preserve"> </w:t>
      </w:r>
      <w:r>
        <w:rPr>
          <w:szCs w:val="24"/>
        </w:rPr>
        <w:t>3</w:t>
      </w:r>
      <w:r>
        <w:rPr>
          <w:szCs w:val="24"/>
        </w:rPr>
        <w:t>0 d., jei projektų finansavimo sąlygų apraše ar atsakingos ministerijos rašte nenurodytas ankstesnis terminas.“</w:t>
      </w:r>
    </w:p>
    <w:p w14:paraId="7E879918" w14:textId="77777777" w:rsidR="000637C4" w:rsidRDefault="00BE716D">
      <w:pPr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Pakeičiu 21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 xml:space="preserve">punktą ir jį išdėstau taip: </w:t>
      </w:r>
    </w:p>
    <w:p w14:paraId="7E879919" w14:textId="77777777" w:rsidR="000637C4" w:rsidRDefault="000637C4">
      <w:pPr>
        <w:rPr>
          <w:sz w:val="4"/>
          <w:szCs w:val="4"/>
        </w:rPr>
      </w:pPr>
    </w:p>
    <w:p w14:paraId="7E87991D" w14:textId="142E60EC" w:rsidR="000637C4" w:rsidRDefault="00BE716D" w:rsidP="00BE716D">
      <w:pPr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21</w:t>
      </w:r>
      <w:r>
        <w:rPr>
          <w:szCs w:val="24"/>
          <w:vertAlign w:val="superscript"/>
        </w:rPr>
        <w:t>1</w:t>
      </w:r>
      <w:r>
        <w:rPr>
          <w:szCs w:val="24"/>
        </w:rPr>
        <w:t>. Kai atsakinga ministerija atitinkamos priemonės projektų finansavimo sąlygų apraše</w:t>
      </w:r>
      <w:r>
        <w:rPr>
          <w:szCs w:val="24"/>
        </w:rPr>
        <w:t xml:space="preserve"> paskirsto ES fondų lėšų limitą su veiklos lėšų rezervu regionams, nurodo jos siūlomą nustatyti regiono projekto (-ų) įtraukimo į regiono projektų sąrašą terminą, kuris negali būti vėlesnis kaip </w:t>
      </w:r>
      <w:r>
        <w:rPr>
          <w:szCs w:val="24"/>
        </w:rPr>
        <w:lastRenderedPageBreak/>
        <w:t>2020 m. spalio</w:t>
      </w:r>
      <w:r>
        <w:rPr>
          <w:b/>
          <w:szCs w:val="24"/>
        </w:rPr>
        <w:t xml:space="preserve"> </w:t>
      </w:r>
      <w:r>
        <w:rPr>
          <w:szCs w:val="24"/>
        </w:rPr>
        <w:t>30 d., ir į regiono projektų sąrašą planuojamą</w:t>
      </w:r>
      <w:r>
        <w:rPr>
          <w:szCs w:val="24"/>
        </w:rPr>
        <w:t xml:space="preserve"> 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>) įtraukti naują 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>) regiono projektą (-</w:t>
      </w:r>
      <w:proofErr w:type="spellStart"/>
      <w:r>
        <w:rPr>
          <w:szCs w:val="24"/>
        </w:rPr>
        <w:t>us</w:t>
      </w:r>
      <w:proofErr w:type="spellEnd"/>
      <w:r>
        <w:rPr>
          <w:szCs w:val="24"/>
        </w:rPr>
        <w:t xml:space="preserve">), Regioninės plėtros departamento atitinkamas apskrities skyrius patikslina kvietime teikti projektinius pasiūlymus nurodytą projektinių pasiūlymų pateikimo terminą. Naujai pateikti projektiniai pasiūlymai </w:t>
      </w:r>
      <w:r>
        <w:rPr>
          <w:szCs w:val="24"/>
        </w:rPr>
        <w:t>vertinami ir regiono projektų sąrašo projektas parengiamas vadovaujantis Aprašo II skyriuje nustatyta tvarka. Tokie regiono projektai į regiono projektų sąrašą įtraukiami iki 2020 m. spalio</w:t>
      </w:r>
      <w:r>
        <w:rPr>
          <w:b/>
          <w:szCs w:val="24"/>
        </w:rPr>
        <w:t xml:space="preserve"> </w:t>
      </w:r>
      <w:r>
        <w:rPr>
          <w:szCs w:val="24"/>
        </w:rPr>
        <w:t>30 d., jei projektų finansavimo sąlygų apraše nenurodytas ankstesn</w:t>
      </w:r>
      <w:r>
        <w:rPr>
          <w:szCs w:val="24"/>
        </w:rPr>
        <w:t>is terminas.“</w:t>
      </w:r>
    </w:p>
    <w:p w14:paraId="52B6551A" w14:textId="77777777" w:rsidR="00BE716D" w:rsidRDefault="00BE716D" w:rsidP="00BE716D">
      <w:pPr>
        <w:tabs>
          <w:tab w:val="center" w:pos="4986"/>
          <w:tab w:val="right" w:pos="9972"/>
        </w:tabs>
        <w:jc w:val="both"/>
      </w:pPr>
    </w:p>
    <w:p w14:paraId="684B0157" w14:textId="77777777" w:rsidR="00BE716D" w:rsidRDefault="00BE716D" w:rsidP="00BE716D">
      <w:pPr>
        <w:tabs>
          <w:tab w:val="center" w:pos="4986"/>
          <w:tab w:val="right" w:pos="9972"/>
        </w:tabs>
        <w:jc w:val="both"/>
      </w:pPr>
    </w:p>
    <w:p w14:paraId="207F5B6C" w14:textId="77777777" w:rsidR="00BE716D" w:rsidRDefault="00BE716D" w:rsidP="00BE716D">
      <w:pPr>
        <w:tabs>
          <w:tab w:val="center" w:pos="4986"/>
          <w:tab w:val="right" w:pos="9972"/>
        </w:tabs>
        <w:jc w:val="both"/>
      </w:pPr>
    </w:p>
    <w:p w14:paraId="7E87991E" w14:textId="2E653906" w:rsidR="000637C4" w:rsidRDefault="00BE716D" w:rsidP="00BE716D">
      <w:pPr>
        <w:tabs>
          <w:tab w:val="right" w:pos="9639"/>
        </w:tabs>
        <w:jc w:val="both"/>
        <w:rPr>
          <w:rFonts w:eastAsia="Calibri"/>
          <w:szCs w:val="24"/>
        </w:rPr>
      </w:pPr>
      <w:r>
        <w:rPr>
          <w:szCs w:val="24"/>
        </w:rPr>
        <w:t>Vidaus reikalų ministrė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Rita </w:t>
      </w:r>
      <w:proofErr w:type="spellStart"/>
      <w:r>
        <w:rPr>
          <w:szCs w:val="24"/>
        </w:rPr>
        <w:t>Tamašunienė</w:t>
      </w:r>
      <w:proofErr w:type="spellEnd"/>
    </w:p>
    <w:sectPr w:rsidR="000637C4" w:rsidSect="00BE7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79922" w14:textId="77777777" w:rsidR="000637C4" w:rsidRDefault="00BE716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7E879923" w14:textId="77777777" w:rsidR="000637C4" w:rsidRDefault="00BE716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6C54D" w14:textId="77777777" w:rsidR="00BE716D" w:rsidRDefault="00BE71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A6766" w14:textId="77777777" w:rsidR="00BE716D" w:rsidRDefault="00BE71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705A" w14:textId="77777777" w:rsidR="00BE716D" w:rsidRDefault="00BE71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79920" w14:textId="77777777" w:rsidR="000637C4" w:rsidRDefault="00BE716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7E879921" w14:textId="77777777" w:rsidR="000637C4" w:rsidRDefault="00BE716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8096" w14:textId="77777777" w:rsidR="00BE716D" w:rsidRDefault="00BE71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836885"/>
      <w:docPartObj>
        <w:docPartGallery w:val="Page Numbers (Top of Page)"/>
        <w:docPartUnique/>
      </w:docPartObj>
    </w:sdtPr>
    <w:sdtContent>
      <w:p w14:paraId="499CACF8" w14:textId="317CA023" w:rsidR="00BE716D" w:rsidRDefault="00BE71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E879924" w14:textId="77777777" w:rsidR="000637C4" w:rsidRDefault="000637C4">
    <w:pPr>
      <w:tabs>
        <w:tab w:val="center" w:pos="4819"/>
        <w:tab w:val="right" w:pos="9638"/>
      </w:tabs>
      <w:jc w:val="center"/>
      <w:rPr>
        <w:rFonts w:eastAsia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C16C" w14:textId="77777777" w:rsidR="00BE716D" w:rsidRDefault="00BE716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5"/>
    <w:rsid w:val="000637C4"/>
    <w:rsid w:val="001E11C5"/>
    <w:rsid w:val="00B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E879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E71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716D"/>
  </w:style>
  <w:style w:type="paragraph" w:styleId="Porat">
    <w:name w:val="footer"/>
    <w:basedOn w:val="prastasis"/>
    <w:link w:val="PoratDiagrama"/>
    <w:rsid w:val="00BE71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E7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E71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716D"/>
  </w:style>
  <w:style w:type="paragraph" w:styleId="Porat">
    <w:name w:val="footer"/>
    <w:basedOn w:val="prastasis"/>
    <w:link w:val="PoratDiagrama"/>
    <w:rsid w:val="00BE71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E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2020-08-20T05:29:00Z</dcterms:created>
  <dc:creator>Giedrė Andriuškevičė</dc:creator>
  <lastModifiedBy>JUOSPONIENĖ Karolina</lastModifiedBy>
  <lastPrinted>2016-08-02T11:02:00Z</lastPrinted>
  <dcterms:modified xsi:type="dcterms:W3CDTF">2020-08-20T05:40:00Z</dcterms:modified>
  <revision>3</revision>
</coreProperties>
</file>