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A2B1AA0" wp14:editId="12A954C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SU NEKILNOJAMUOJU TURTU SUSIJUSIO KREDITO ĮSTATYMO NR. XII-2769 22 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kovo</w:t>
      </w:r>
      <w:r>
        <w:rPr>
          <w:szCs w:val="24"/>
        </w:rPr>
        <w:t xml:space="preserve"> </w:t>
      </w:r>
      <w:r>
        <w:rPr>
          <w:szCs w:val="24"/>
          <w:lang w:val="en-US"/>
        </w:rPr>
        <w:t>17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XIII-2815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22 straipsnio pakeitimas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22 straipsnio 1 dalies 3 punktą ir jį išdėstyti taip:</w:t>
      </w:r>
    </w:p>
    <w:p>
      <w:pPr>
        <w:tabs>
          <w:tab w:val="left" w:pos="1276"/>
          <w:tab w:val="left" w:pos="1418"/>
          <w:tab w:val="left" w:pos="1560"/>
        </w:tabs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bCs/>
          <w:szCs w:val="24"/>
        </w:rPr>
        <w:t>„</w:t>
      </w:r>
      <w:r>
        <w:rPr>
          <w:rFonts w:eastAsia="Calibri"/>
          <w:szCs w:val="24"/>
        </w:rPr>
        <w:t>3</w:t>
      </w:r>
      <w:r>
        <w:rPr>
          <w:rFonts w:eastAsia="Calibri"/>
          <w:szCs w:val="24"/>
        </w:rPr>
        <w:t>) kredito gavėjas ar jo sutuoktinis tampa bedarbiu arba netenka ne mažiau kaip trečdalio pajamų;“.</w:t>
      </w:r>
    </w:p>
    <w:p>
      <w:pPr>
        <w:tabs>
          <w:tab w:val="left" w:pos="1276"/>
          <w:tab w:val="left" w:pos="1418"/>
          <w:tab w:val="left" w:pos="1560"/>
        </w:tabs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taikymas</w:t>
      </w:r>
    </w:p>
    <w:p>
      <w:pPr>
        <w:spacing w:line="360" w:lineRule="auto"/>
        <w:ind w:firstLine="720"/>
        <w:jc w:val="both"/>
      </w:pPr>
      <w:r>
        <w:rPr>
          <w:bCs/>
          <w:szCs w:val="24"/>
        </w:rPr>
        <w:t>Šis įstatymas taikomas ir iki šio įstatymo įsigaliojimo dienos sudarytoms kredito sutartims.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9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4</DocSecurity>
  <Lines>27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585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2020-03-18T15:36:00Z</dcterms:created>
  <dc:creator>„Windows“ vartotojas</dc:creator>
  <lastModifiedBy>adlibuser</lastModifiedBy>
  <lastPrinted>2020-03-17T13:29:00Z</lastPrinted>
  <dcterms:modified xsi:type="dcterms:W3CDTF">2020-03-18T15:36:00Z</dcterms:modified>
  <revision>2</revision>
</coreProperties>
</file>