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DFD2A" w14:textId="42321493" w:rsidR="006F2482" w:rsidRDefault="00A43858" w:rsidP="00A43858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  <w:r>
        <w:rPr>
          <w:sz w:val="20"/>
          <w:lang w:val="en-GB"/>
        </w:rPr>
        <w:object w:dxaOrig="4534" w:dyaOrig="2214" w14:anchorId="730DF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8" o:title=""/>
          </v:shape>
          <o:OLEObject Type="Embed" ProgID="CorelDRAW.Graphic.10" ShapeID="_x0000_i1025" DrawAspect="Content" ObjectID="_1478948912" r:id="rId9"/>
        </w:object>
      </w:r>
    </w:p>
    <w:p w14:paraId="5CD34CEC" w14:textId="77777777" w:rsidR="00A43858" w:rsidRDefault="00A43858" w:rsidP="00A43858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</w:p>
    <w:p w14:paraId="730DFD2B" w14:textId="77777777" w:rsidR="006F2482" w:rsidRDefault="00A43858" w:rsidP="00A43858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6"/>
          <w:szCs w:val="26"/>
          <w:lang w:val="en-GB"/>
        </w:rPr>
      </w:pPr>
      <w:r>
        <w:rPr>
          <w:b/>
          <w:bCs/>
          <w:spacing w:val="20"/>
          <w:sz w:val="26"/>
          <w:szCs w:val="26"/>
          <w:lang w:val="en-GB"/>
        </w:rPr>
        <w:t>CIVILINĖS AVIACIJOS ADMINISTRACIJOS</w:t>
      </w:r>
    </w:p>
    <w:p w14:paraId="730DFD2F" w14:textId="295B20C3" w:rsidR="006F2482" w:rsidRDefault="00A43858" w:rsidP="00A43858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2804AD70" w14:textId="77777777" w:rsidR="00A43858" w:rsidRPr="00A43858" w:rsidRDefault="00A43858" w:rsidP="00A43858">
      <w:pPr>
        <w:jc w:val="center"/>
        <w:rPr>
          <w:b/>
          <w:szCs w:val="24"/>
        </w:rPr>
      </w:pPr>
    </w:p>
    <w:p w14:paraId="36600E30" w14:textId="77777777" w:rsidR="00A43858" w:rsidRDefault="00A43858" w:rsidP="00A4385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30DFD33" w14:textId="6EFC4B7D" w:rsidR="006F2482" w:rsidRPr="00A43858" w:rsidRDefault="00A43858" w:rsidP="00A43858">
      <w:pPr>
        <w:jc w:val="center"/>
        <w:rPr>
          <w:b/>
          <w:bCs/>
          <w:szCs w:val="24"/>
        </w:rPr>
      </w:pPr>
      <w:r>
        <w:rPr>
          <w:b/>
          <w:szCs w:val="24"/>
        </w:rPr>
        <w:t>DĖL CIVILINĖS AVIACIJOS ADMINISTRACIJOS DIREKTORIAUS 2014 M. BALANDŽIO 11 D. ĮSAKYMO Nr. 4R-56 „DĖ</w:t>
      </w:r>
      <w:bookmarkStart w:id="0" w:name="_GoBack"/>
      <w:bookmarkEnd w:id="0"/>
      <w:r>
        <w:rPr>
          <w:b/>
          <w:szCs w:val="24"/>
        </w:rPr>
        <w:t>L PAŽYMĖJIMŲ AVIACIJOS MEDICINOS CENTRAMS IŠDAVIMO TAISYKLIŲ PATVIRTINIMO“ PAKEITIMO</w:t>
      </w:r>
    </w:p>
    <w:p w14:paraId="730DFD34" w14:textId="77777777" w:rsidR="006F2482" w:rsidRDefault="006F2482" w:rsidP="00A43858">
      <w:pPr>
        <w:jc w:val="center"/>
        <w:rPr>
          <w:szCs w:val="24"/>
        </w:rPr>
      </w:pPr>
    </w:p>
    <w:p w14:paraId="5EFD43E8" w14:textId="151DB624" w:rsidR="00A43858" w:rsidRDefault="00A43858" w:rsidP="00A43858">
      <w:pPr>
        <w:tabs>
          <w:tab w:val="left" w:pos="4608"/>
          <w:tab w:val="left" w:pos="5328"/>
        </w:tabs>
        <w:jc w:val="center"/>
        <w:rPr>
          <w:szCs w:val="24"/>
        </w:rPr>
      </w:pPr>
      <w:r>
        <w:rPr>
          <w:szCs w:val="24"/>
        </w:rPr>
        <w:t xml:space="preserve">2014 m. lapkričio </w:t>
      </w:r>
      <w:r>
        <w:rPr>
          <w:szCs w:val="24"/>
          <w:lang w:val="en-US"/>
        </w:rPr>
        <w:t xml:space="preserve">27 d. </w:t>
      </w:r>
      <w:r>
        <w:rPr>
          <w:szCs w:val="24"/>
        </w:rPr>
        <w:t>Nr. 4R-161</w:t>
      </w:r>
    </w:p>
    <w:p w14:paraId="730DFD3B" w14:textId="2FE13D60" w:rsidR="006F2482" w:rsidRDefault="00A43858" w:rsidP="00A43858">
      <w:pPr>
        <w:jc w:val="center"/>
        <w:rPr>
          <w:szCs w:val="24"/>
        </w:rPr>
      </w:pPr>
      <w:r>
        <w:rPr>
          <w:szCs w:val="24"/>
        </w:rPr>
        <w:t>Vilnius</w:t>
      </w:r>
    </w:p>
    <w:p w14:paraId="730DFD3C" w14:textId="77777777" w:rsidR="006F2482" w:rsidRDefault="006F2482" w:rsidP="00A43858">
      <w:pPr>
        <w:jc w:val="center"/>
        <w:rPr>
          <w:szCs w:val="24"/>
        </w:rPr>
      </w:pPr>
    </w:p>
    <w:p w14:paraId="730DFD3D" w14:textId="3F672997" w:rsidR="006F2482" w:rsidRDefault="006F2482" w:rsidP="00A43858">
      <w:pPr>
        <w:jc w:val="center"/>
        <w:rPr>
          <w:szCs w:val="24"/>
        </w:rPr>
      </w:pPr>
    </w:p>
    <w:p w14:paraId="730DFD3E" w14:textId="436FCD92" w:rsidR="006F2482" w:rsidRDefault="00A43858">
      <w:pPr>
        <w:ind w:firstLine="312"/>
        <w:jc w:val="both"/>
        <w:rPr>
          <w:szCs w:val="24"/>
        </w:rPr>
      </w:pPr>
      <w:r>
        <w:rPr>
          <w:szCs w:val="24"/>
        </w:rPr>
        <w:t xml:space="preserve">Vadovaudamasis Komisijos 2011 m. lapkričio 3 d. reglamento (ES) Nr. 1178/2011 </w:t>
      </w:r>
      <w:r>
        <w:rPr>
          <w:bCs/>
          <w:color w:val="000000"/>
          <w:szCs w:val="24"/>
        </w:rPr>
        <w:t xml:space="preserve">kuriuo pagal Europos Parlamento </w:t>
      </w:r>
      <w:r>
        <w:rPr>
          <w:bCs/>
          <w:color w:val="000000"/>
          <w:szCs w:val="24"/>
        </w:rPr>
        <w:t>ir Tarybos reglamentą (EB) Nr. 216/2008 nustatomi su civilinės aviacijos orlaivių įgula susiję techniniai reikalavimai ir administracinės procedūros (OL 2011 L 311, p.1)</w:t>
      </w:r>
      <w:r>
        <w:rPr>
          <w:szCs w:val="24"/>
        </w:rPr>
        <w:t xml:space="preserve"> su paskutiniais pakeitimais, padarytais 2012 m. kovo 30 d. Komisijos reglamentu (ES) N</w:t>
      </w:r>
      <w:r>
        <w:rPr>
          <w:szCs w:val="24"/>
        </w:rPr>
        <w:t xml:space="preserve">r. 290/2012 </w:t>
      </w:r>
      <w:r>
        <w:rPr>
          <w:bCs/>
          <w:color w:val="000000"/>
          <w:szCs w:val="24"/>
        </w:rPr>
        <w:t xml:space="preserve">kuriuo iš dalies keičiamas Reglamentas (ES) Nr. 1178/2011, kuriuo pagal Europos Parlamento ir Tarybos reglamentą (EB) Nr. 216/2008 nustatomi su civilinės aviacijos orlaivių įgula susiję techniniai reikalavimai ir administracinės procedūros (OL </w:t>
      </w:r>
      <w:r>
        <w:rPr>
          <w:bCs/>
          <w:color w:val="000000"/>
          <w:szCs w:val="24"/>
        </w:rPr>
        <w:t>2012 L 100, p.1),</w:t>
      </w:r>
      <w:r>
        <w:rPr>
          <w:szCs w:val="24"/>
        </w:rPr>
        <w:t xml:space="preserve"> VII priedo ORA.GEN.115 dalimi, p a k e i č i u Pažymėjimų aviacijos medicinos centrams išdavimo taisykles, patvirtintas Civilinės aviacijos administracijos direktoriaus 2014 m. balandžio 11 d. įsakymu Nr. 4R-56:</w:t>
      </w:r>
    </w:p>
    <w:p w14:paraId="730DFD3F" w14:textId="77777777" w:rsidR="006F2482" w:rsidRDefault="00A43858">
      <w:pPr>
        <w:ind w:left="672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Pakeičiu 8 punktą ir </w:t>
      </w:r>
      <w:r>
        <w:rPr>
          <w:szCs w:val="24"/>
        </w:rPr>
        <w:t>jį išdėstau taip:</w:t>
      </w:r>
    </w:p>
    <w:p w14:paraId="730DFD40" w14:textId="77777777" w:rsidR="006F2482" w:rsidRDefault="00A43858">
      <w:pPr>
        <w:ind w:firstLine="312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. </w:t>
      </w:r>
      <w:r>
        <w:rPr>
          <w:szCs w:val="24"/>
        </w:rPr>
        <w:t>Asmens sveikatos priežiūros įstaiga, norinti gauti pažymėjimą arba keisti esamą pažymėjimą, pateikia</w:t>
      </w:r>
      <w:r>
        <w:rPr>
          <w:color w:val="000000"/>
          <w:szCs w:val="24"/>
        </w:rPr>
        <w:t xml:space="preserve"> CAA</w:t>
      </w:r>
      <w:r>
        <w:rPr>
          <w:szCs w:val="24"/>
        </w:rPr>
        <w:t xml:space="preserve"> šių taisyklių priede nustatytos formos </w:t>
      </w:r>
      <w:r>
        <w:rPr>
          <w:color w:val="000000"/>
          <w:szCs w:val="24"/>
        </w:rPr>
        <w:t>prašymą</w:t>
      </w:r>
      <w:r>
        <w:rPr>
          <w:szCs w:val="24"/>
        </w:rPr>
        <w:t xml:space="preserve"> </w:t>
      </w:r>
      <w:r>
        <w:rPr>
          <w:color w:val="000000"/>
          <w:szCs w:val="24"/>
        </w:rPr>
        <w:t>ir šiuos dokumentus bei informaciją:“</w:t>
      </w:r>
    </w:p>
    <w:p w14:paraId="11E0AD48" w14:textId="29C6E27C" w:rsidR="00A43858" w:rsidRDefault="00A43858" w:rsidP="00A43858">
      <w:pPr>
        <w:ind w:left="672" w:hanging="36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Papildau taisykles nauju priedu</w:t>
      </w:r>
      <w:r>
        <w:rPr>
          <w:szCs w:val="24"/>
        </w:rPr>
        <w:t xml:space="preserve"> (pridedamas).</w:t>
      </w:r>
    </w:p>
    <w:p w14:paraId="3F566865" w14:textId="4787B70A" w:rsidR="00A43858" w:rsidRDefault="00A43858" w:rsidP="00A43858">
      <w:pPr>
        <w:ind w:left="672" w:hanging="360"/>
        <w:jc w:val="both"/>
        <w:rPr>
          <w:szCs w:val="24"/>
        </w:rPr>
      </w:pPr>
    </w:p>
    <w:p w14:paraId="4E6D85D6" w14:textId="77777777" w:rsidR="00A43858" w:rsidRDefault="00A43858" w:rsidP="00A43858">
      <w:pPr>
        <w:ind w:left="672" w:hanging="360"/>
        <w:jc w:val="both"/>
        <w:rPr>
          <w:szCs w:val="24"/>
        </w:rPr>
      </w:pPr>
    </w:p>
    <w:p w14:paraId="5AB445CC" w14:textId="77777777" w:rsidR="00A43858" w:rsidRDefault="00A43858" w:rsidP="00A43858">
      <w:pPr>
        <w:ind w:left="672" w:hanging="360"/>
        <w:jc w:val="both"/>
        <w:rPr>
          <w:szCs w:val="24"/>
        </w:rPr>
      </w:pPr>
    </w:p>
    <w:p w14:paraId="730DFD50" w14:textId="2A9A3319" w:rsidR="006F2482" w:rsidRDefault="00A43858" w:rsidP="00A43858">
      <w:pPr>
        <w:tabs>
          <w:tab w:val="left" w:pos="7938"/>
        </w:tabs>
        <w:ind w:right="-85"/>
        <w:rPr>
          <w:szCs w:val="24"/>
        </w:rPr>
      </w:pPr>
      <w:r>
        <w:rPr>
          <w:szCs w:val="24"/>
        </w:rPr>
        <w:t>Laikinai einantis direktoriaus pareigas</w:t>
      </w:r>
      <w:r>
        <w:rPr>
          <w:szCs w:val="24"/>
        </w:rPr>
        <w:tab/>
      </w:r>
      <w:proofErr w:type="spellStart"/>
      <w:r>
        <w:rPr>
          <w:szCs w:val="24"/>
        </w:rPr>
        <w:t>Joris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Gintilas</w:t>
      </w:r>
      <w:proofErr w:type="spellEnd"/>
    </w:p>
    <w:sectPr w:rsidR="006F2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1134" w:footer="68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FD54" w14:textId="77777777" w:rsidR="006F2482" w:rsidRDefault="00A4385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30DFD55" w14:textId="77777777" w:rsidR="006F2482" w:rsidRDefault="00A4385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FD5A" w14:textId="77777777" w:rsidR="006F2482" w:rsidRDefault="006F2482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FD5B" w14:textId="77777777" w:rsidR="006F2482" w:rsidRDefault="006F2482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FD5D" w14:textId="77777777" w:rsidR="006F2482" w:rsidRDefault="006F2482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FD52" w14:textId="77777777" w:rsidR="006F2482" w:rsidRDefault="00A4385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30DFD53" w14:textId="77777777" w:rsidR="006F2482" w:rsidRDefault="00A4385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FD56" w14:textId="77777777" w:rsidR="006F2482" w:rsidRDefault="006F2482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6F2482" w14:paraId="730DFD58" w14:textId="77777777">
      <w:trPr>
        <w:cantSplit/>
      </w:trPr>
      <w:tc>
        <w:tcPr>
          <w:tcW w:w="9639" w:type="dxa"/>
        </w:tcPr>
        <w:p w14:paraId="730DFD57" w14:textId="77777777" w:rsidR="006F2482" w:rsidRDefault="00A43858">
          <w:pPr>
            <w:tabs>
              <w:tab w:val="center" w:pos="4252"/>
              <w:tab w:val="right" w:pos="8504"/>
            </w:tabs>
            <w:overflowPunct w:val="0"/>
            <w:jc w:val="right"/>
            <w:textAlignment w:val="baseline"/>
            <w:rPr>
              <w:rFonts w:ascii="Arial" w:hAnsi="Arial"/>
              <w:sz w:val="20"/>
            </w:rPr>
          </w:pPr>
          <w:r>
            <w:rPr>
              <w:rFonts w:ascii="HelveticaLT" w:hAnsi="HelveticaLT"/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2 </w:t>
          </w:r>
          <w:r>
            <w:rPr>
              <w:bCs/>
              <w:sz w:val="20"/>
            </w:rPr>
            <w:t>puslapis iš</w:t>
          </w:r>
          <w:r>
            <w:rPr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1 </w:t>
          </w:r>
        </w:p>
      </w:tc>
    </w:tr>
  </w:tbl>
  <w:p w14:paraId="730DFD59" w14:textId="77777777" w:rsidR="006F2482" w:rsidRDefault="006F2482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FD5C" w14:textId="77777777" w:rsidR="006F2482" w:rsidRDefault="006F2482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drawingGridHorizont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7"/>
    <w:rsid w:val="000A6D77"/>
    <w:rsid w:val="006F2482"/>
    <w:rsid w:val="00A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0D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438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385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438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438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385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43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B0EAC95-0105-456B-B8AD-04599D411FAB}"/>
      </w:docPartPr>
      <w:docPartBody>
        <w:p w14:paraId="284AEAB6" w14:textId="165EE558" w:rsidR="00000000" w:rsidRDefault="00943832">
          <w:r w:rsidRPr="001A7448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2"/>
    <w:rsid w:val="009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38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38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1533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2014-11-28T17:52:00Z</dcterms:created>
  <dc:creator>Jolanta</dc:creator>
  <lastModifiedBy>PAVKŠTELO Julita</lastModifiedBy>
  <lastPrinted>2014-11-27T10:49:00Z</lastPrinted>
  <dcterms:modified xsi:type="dcterms:W3CDTF">2014-12-01T12:22:00Z</dcterms:modified>
  <revision>3</revision>
  <dc:title>CAA blankas</dc:title>
</coreProperties>
</file>