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FD6D" w14:textId="77777777" w:rsidR="00DA59F2" w:rsidRDefault="00DA59F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5EFFD6E" w14:textId="77777777" w:rsidR="00DA59F2" w:rsidRDefault="001915D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5EFFDA4" wp14:editId="75EFFDA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FD6F" w14:textId="77777777" w:rsidR="00DA59F2" w:rsidRDefault="00DA59F2">
      <w:pPr>
        <w:jc w:val="center"/>
        <w:rPr>
          <w:caps/>
          <w:sz w:val="12"/>
          <w:szCs w:val="12"/>
        </w:rPr>
      </w:pPr>
    </w:p>
    <w:p w14:paraId="75EFFD70" w14:textId="77777777" w:rsidR="00DA59F2" w:rsidRDefault="001915D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5EFFD71" w14:textId="77777777" w:rsidR="00DA59F2" w:rsidRDefault="001915DC">
      <w:pPr>
        <w:jc w:val="center"/>
        <w:rPr>
          <w:b/>
          <w:caps/>
        </w:rPr>
      </w:pPr>
      <w:r>
        <w:rPr>
          <w:b/>
          <w:caps/>
        </w:rPr>
        <w:t>STATYBOS ĮSTATYMO NR. I-1240 24, 34, 40, 45, 55 STRAIPSNIŲ PAKEITIMO IR ĮSTATYMO PAPILDYMO 54</w:t>
      </w:r>
      <w:r>
        <w:rPr>
          <w:b/>
          <w:caps/>
          <w:vertAlign w:val="superscript"/>
        </w:rPr>
        <w:t>2</w:t>
      </w:r>
      <w:r>
        <w:rPr>
          <w:b/>
          <w:caps/>
        </w:rPr>
        <w:t xml:space="preserve"> STRAIPSNIU</w:t>
      </w:r>
    </w:p>
    <w:p w14:paraId="75EFFD72" w14:textId="77777777" w:rsidR="00DA59F2" w:rsidRDefault="001915DC">
      <w:pPr>
        <w:jc w:val="center"/>
        <w:rPr>
          <w:caps/>
        </w:rPr>
      </w:pPr>
      <w:r>
        <w:rPr>
          <w:b/>
          <w:caps/>
        </w:rPr>
        <w:t>ĮSTATYMAS</w:t>
      </w:r>
    </w:p>
    <w:p w14:paraId="75EFFD73" w14:textId="77777777" w:rsidR="00DA59F2" w:rsidRDefault="00DA59F2">
      <w:pPr>
        <w:jc w:val="center"/>
        <w:rPr>
          <w:b/>
          <w:caps/>
        </w:rPr>
      </w:pPr>
    </w:p>
    <w:p w14:paraId="75EFFD74" w14:textId="77777777" w:rsidR="00DA59F2" w:rsidRDefault="001915DC">
      <w:pPr>
        <w:jc w:val="center"/>
        <w:rPr>
          <w:sz w:val="22"/>
        </w:rPr>
      </w:pPr>
      <w:r>
        <w:rPr>
          <w:sz w:val="22"/>
        </w:rPr>
        <w:t>2015 m. birželio 23 d. Nr. XII-1834</w:t>
      </w:r>
    </w:p>
    <w:p w14:paraId="75EFFD75" w14:textId="77777777" w:rsidR="00DA59F2" w:rsidRDefault="001915DC">
      <w:pPr>
        <w:jc w:val="center"/>
        <w:rPr>
          <w:sz w:val="22"/>
        </w:rPr>
      </w:pPr>
      <w:r>
        <w:rPr>
          <w:sz w:val="22"/>
        </w:rPr>
        <w:t>Vilnius</w:t>
      </w:r>
    </w:p>
    <w:p w14:paraId="75EFFD76" w14:textId="77777777" w:rsidR="00DA59F2" w:rsidRDefault="00DA59F2">
      <w:pPr>
        <w:jc w:val="center"/>
        <w:rPr>
          <w:sz w:val="22"/>
        </w:rPr>
      </w:pPr>
    </w:p>
    <w:p w14:paraId="75EFFD77" w14:textId="77777777" w:rsidR="00DA59F2" w:rsidRDefault="00DA59F2">
      <w:pPr>
        <w:spacing w:line="360" w:lineRule="auto"/>
        <w:ind w:firstLine="720"/>
        <w:jc w:val="both"/>
        <w:rPr>
          <w:sz w:val="16"/>
          <w:szCs w:val="16"/>
        </w:rPr>
      </w:pPr>
    </w:p>
    <w:p w14:paraId="75EFFD79" w14:textId="77777777" w:rsidR="00DA59F2" w:rsidRDefault="00DA59F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5EFFD7A" w14:textId="77777777" w:rsidR="00DA59F2" w:rsidRDefault="001915DC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color w:val="000000"/>
          <w:szCs w:val="24"/>
        </w:rPr>
        <w:t>24 straipsnio pakeitimas</w:t>
      </w:r>
    </w:p>
    <w:p w14:paraId="75EFFD7B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Papildyti 24 straipsnį </w:t>
      </w: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</w:rPr>
        <w:t xml:space="preserve"> dalimi:</w:t>
      </w:r>
    </w:p>
    <w:p w14:paraId="75EFFD7C" w14:textId="77777777" w:rsidR="00DA59F2" w:rsidRDefault="001915D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„</w:t>
      </w:r>
      <w:r>
        <w:rPr>
          <w:szCs w:val="24"/>
          <w:lang w:eastAsia="lt-LT"/>
        </w:rPr>
        <w:t>4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Atlikus statybos užbaigimo procedūras, statinį ir daiktines teises į jį privaloma įregistruoti Nekilnojamojo turto registre ne vėliau kaip per 3 mėnesius nuo statybos užbaigimo akto gavimo dienos, deklaracijos apie statybos užbaigimą patvirtinimo ir įreg</w:t>
      </w:r>
      <w:r>
        <w:rPr>
          <w:szCs w:val="24"/>
          <w:lang w:eastAsia="lt-LT"/>
        </w:rPr>
        <w:t xml:space="preserve">istravimo dienos arba nuo deklaracijos apie statybos užbaigimą pasirašymo dienos (kai ji netvirtinama ir neregistruojama).“ </w:t>
      </w:r>
    </w:p>
    <w:p w14:paraId="75EFFD7D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</w:p>
    <w:p w14:paraId="75EFFD7E" w14:textId="77777777" w:rsidR="00DA59F2" w:rsidRDefault="001915D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34 straipsnio pakeitimas</w:t>
      </w:r>
    </w:p>
    <w:p w14:paraId="75EFFD7F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34 straipsnio 1 dalį ir ją išdėstyti taip:</w:t>
      </w:r>
    </w:p>
    <w:p w14:paraId="75EFFD80" w14:textId="77777777" w:rsidR="00DA59F2" w:rsidRDefault="001915DC">
      <w:pPr>
        <w:tabs>
          <w:tab w:val="left" w:pos="8647"/>
        </w:tabs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>
        <w:rPr>
          <w:szCs w:val="24"/>
        </w:rPr>
        <w:t>Nebaigtas statyt</w:t>
      </w:r>
      <w:r>
        <w:rPr>
          <w:szCs w:val="24"/>
        </w:rPr>
        <w:t>i ar rekonstruoti ypatingas ar neypatingas statinys ir daiktinės teisės į jį, taip pat nebaigtas rekonstruoti į ypatingą ar neypatingą statinį nesudėtingas statinys ir daiktinės teisės į jį ne vėliau kaip per 3 metus nuo statybą leidžiančio dokumento išdav</w:t>
      </w:r>
      <w:r>
        <w:rPr>
          <w:szCs w:val="24"/>
        </w:rPr>
        <w:t>imo pradžios turi būti įregistruoti Nekilnojamojo turto registre Valstybinės teritorijų planavimo ir statybos inspekcijos prie Aplinkos ministerijos išduotos pažymos apie statinio statybą be nukrypimų nuo esminių statinio projekto sprendinių pagrindu.“</w:t>
      </w:r>
    </w:p>
    <w:p w14:paraId="75EFFD81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34 straipsnio 2 dalį ir ją išdėstyti taip:</w:t>
      </w:r>
    </w:p>
    <w:p w14:paraId="75EFFD82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Nebaigtas statyti ar rekonstruoti nesudėtingas statinys (išskyrus atvejį, kai jis rekonstruojamas į ypatingą ar neypatingą statinį) gali būti įregistruojamas Nekilnojamojo turto registre Nek</w:t>
      </w:r>
      <w:r>
        <w:rPr>
          <w:szCs w:val="24"/>
        </w:rPr>
        <w:t>ilnojamojo turto kadastro įstatyme nustatyta tvarka nepateikus šio straipsnio 1 dalyje nurodytos pažymos.“</w:t>
      </w:r>
    </w:p>
    <w:p w14:paraId="75EFFD83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Papildyti 34 straipsnį 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dalimi:</w:t>
      </w:r>
    </w:p>
    <w:p w14:paraId="75EFFD84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  <w:vertAlign w:val="superscript"/>
        </w:rPr>
        <w:t>1</w:t>
      </w:r>
      <w:r>
        <w:rPr>
          <w:szCs w:val="24"/>
        </w:rPr>
        <w:t>. Pasikeitę nebaigto statyti ar rekonstruoti statinio kadastro duomenys Valstybinės teritorijų plan</w:t>
      </w:r>
      <w:r>
        <w:rPr>
          <w:szCs w:val="24"/>
        </w:rPr>
        <w:t xml:space="preserve">avimo ir statybos inspekcijos prie Aplinkos ministerijos išduotos pažymos apie statinio statybą be nukrypimų nuo esminių statinio projekto sprendinių pagrindu Nekilnojamojo </w:t>
      </w:r>
      <w:r>
        <w:rPr>
          <w:szCs w:val="24"/>
        </w:rPr>
        <w:lastRenderedPageBreak/>
        <w:t>turto registre tikslinami ne rečiau kaip vieną kartą per 5 metus nuo nebaigto staty</w:t>
      </w:r>
      <w:r>
        <w:rPr>
          <w:szCs w:val="24"/>
        </w:rPr>
        <w:t>ti ar rekonstruoti statinio įregistravimo Nekilnojamojo turto registre pagal šio straipsnio 1 dalį. Vadovaujantis šio Įstatymo 33 straipsniu, sustabdžius statinio statybą, nebaigto statyti ar rekonstruoti statinio kadastro duomenų Nekilnojamojo turto regis</w:t>
      </w:r>
      <w:r>
        <w:rPr>
          <w:szCs w:val="24"/>
        </w:rPr>
        <w:t>tre tikslinti neprivaloma.“</w:t>
      </w:r>
    </w:p>
    <w:p w14:paraId="75EFFD85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</w:p>
    <w:p w14:paraId="75EFFD86" w14:textId="77777777" w:rsidR="00DA59F2" w:rsidRDefault="001915D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40 straipsnio pakeitimas</w:t>
      </w:r>
    </w:p>
    <w:p w14:paraId="75EFFD87" w14:textId="77777777" w:rsidR="00DA59F2" w:rsidRDefault="001915DC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1</w:t>
      </w:r>
      <w:r>
        <w:rPr>
          <w:szCs w:val="24"/>
        </w:rPr>
        <w:t>. Pakeisti 40 straipsnio 2 dalį ir ją išdėstyti taip:</w:t>
      </w:r>
    </w:p>
    <w:p w14:paraId="75EFFD88" w14:textId="77777777" w:rsidR="00DA59F2" w:rsidRDefault="001915DC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</w:t>
      </w:r>
      <w:r>
        <w:rPr>
          <w:bCs/>
          <w:szCs w:val="24"/>
        </w:rPr>
        <w:t>. Pastatytą naują ypatingą ar neypatingą statinį galima naudoti tik įvykdžius šio Įstatymo 24 straipsnio 1 ir 4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dalyse nustatytus reikalavimus. Šios dalies nuostatos neprivalomos statant gyvenamuosius namus.“</w:t>
      </w:r>
    </w:p>
    <w:p w14:paraId="75EFFD89" w14:textId="77777777" w:rsidR="00DA59F2" w:rsidRDefault="001915DC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2</w:t>
      </w:r>
      <w:r>
        <w:rPr>
          <w:szCs w:val="24"/>
        </w:rPr>
        <w:t>. Pakeisti 40 straipsnio 3 dalį ir ją išdėstyti taip:</w:t>
      </w:r>
    </w:p>
    <w:p w14:paraId="75EFFD8A" w14:textId="77777777" w:rsidR="00DA59F2" w:rsidRDefault="001915DC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3</w:t>
      </w:r>
      <w:r>
        <w:rPr>
          <w:bCs/>
          <w:szCs w:val="24"/>
        </w:rPr>
        <w:t>. Rekonstruoto ypatingo ar neypatingo statinio naujas dalis galima pradėti naudoti tik įvyk</w:t>
      </w:r>
      <w:r>
        <w:rPr>
          <w:bCs/>
          <w:szCs w:val="24"/>
        </w:rPr>
        <w:t>džius šio Įstatymo 24 straipsnio 1 ir 4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dalyse nustatytus reikalavimus. Šios dalies nuostatos neprivalomos rekonstruojant gyvenamuosius namus, inžinerinius tinklus ir susisiekimo komunikacijas.“</w:t>
      </w:r>
    </w:p>
    <w:p w14:paraId="75EFFD8B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</w:p>
    <w:p w14:paraId="75EFFD8C" w14:textId="77777777" w:rsidR="00DA59F2" w:rsidRDefault="001915D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45 straipsnio pakeitimas</w:t>
      </w:r>
    </w:p>
    <w:p w14:paraId="75EFFD8D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</w:t>
      </w:r>
      <w:r>
        <w:rPr>
          <w:szCs w:val="24"/>
        </w:rPr>
        <w:t>i 45 straipsnį 4 dalimi:</w:t>
      </w:r>
    </w:p>
    <w:p w14:paraId="75EFFD8E" w14:textId="77777777" w:rsidR="00DA59F2" w:rsidRDefault="001915DC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4</w:t>
      </w:r>
      <w:r>
        <w:rPr>
          <w:bCs/>
          <w:szCs w:val="24"/>
        </w:rPr>
        <w:t xml:space="preserve">. Duomenys apie </w:t>
      </w:r>
      <w:r>
        <w:rPr>
          <w:color w:val="000000"/>
          <w:szCs w:val="24"/>
        </w:rPr>
        <w:t>Lietuvos Respublikos statybos leidimų ir statybos valstybinės priežiūros</w:t>
      </w:r>
      <w:r>
        <w:rPr>
          <w:szCs w:val="24"/>
        </w:rPr>
        <w:t xml:space="preserve"> i</w:t>
      </w:r>
      <w:r>
        <w:rPr>
          <w:bCs/>
          <w:szCs w:val="24"/>
        </w:rPr>
        <w:t xml:space="preserve">nformacinėje sistemoje </w:t>
      </w:r>
      <w:r>
        <w:rPr>
          <w:szCs w:val="24"/>
        </w:rPr>
        <w:t>„Infostatyba“ paskelbtus statybą leidžiančius dokumentus, statybos užbaigimo ir kitus dokumentus, turinčius įtakos</w:t>
      </w:r>
      <w:r>
        <w:rPr>
          <w:szCs w:val="24"/>
        </w:rPr>
        <w:t xml:space="preserve"> nekilnojamojo daikto teisiniam statusui, naudojantis informacinių sistemų sąveikos mechanizmu, perduodami žymai nekilnojamojo turto kadastre padaryti šio kadastro nuostatų nustatyta tvarka.“</w:t>
      </w:r>
    </w:p>
    <w:p w14:paraId="75EFFD8F" w14:textId="77777777" w:rsidR="00DA59F2" w:rsidRDefault="001915DC">
      <w:pPr>
        <w:spacing w:line="360" w:lineRule="auto"/>
        <w:ind w:firstLine="720"/>
        <w:jc w:val="both"/>
        <w:rPr>
          <w:szCs w:val="24"/>
        </w:rPr>
      </w:pPr>
    </w:p>
    <w:p w14:paraId="75EFFD90" w14:textId="77777777" w:rsidR="00DA59F2" w:rsidRDefault="001915D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papildymas 54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straipsniu</w:t>
      </w:r>
    </w:p>
    <w:p w14:paraId="75EFFD91" w14:textId="77777777" w:rsidR="00DA59F2" w:rsidRDefault="001915D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Pa</w:t>
      </w:r>
      <w:r>
        <w:rPr>
          <w:szCs w:val="24"/>
        </w:rPr>
        <w:t xml:space="preserve">pildyti Įstatymą </w:t>
      </w:r>
      <w:r>
        <w:rPr>
          <w:color w:val="000000"/>
          <w:szCs w:val="24"/>
        </w:rPr>
        <w:t>54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straipsniu:</w:t>
      </w:r>
    </w:p>
    <w:p w14:paraId="75EFFD92" w14:textId="77777777" w:rsidR="00DA59F2" w:rsidRDefault="001915DC">
      <w:pPr>
        <w:spacing w:line="360" w:lineRule="auto"/>
        <w:ind w:left="2410" w:hanging="169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color w:val="000000"/>
          <w:szCs w:val="24"/>
        </w:rPr>
        <w:t>54</w:t>
      </w:r>
      <w:r>
        <w:rPr>
          <w:b/>
          <w:color w:val="000000"/>
          <w:szCs w:val="24"/>
          <w:vertAlign w:val="superscript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Juridinių asmenų atsakomybė už statinių ir daiktinių teisių į juos registravimo ir duomenų Nekilnojamojo turto registre tikslinimo tvarkos pažeidimus</w:t>
      </w:r>
    </w:p>
    <w:p w14:paraId="75EFFD93" w14:textId="77777777" w:rsidR="00DA59F2" w:rsidRDefault="001915D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Už šiame Įstatyme nustatytos statinių ir daiktinių t</w:t>
      </w:r>
      <w:r>
        <w:rPr>
          <w:color w:val="000000"/>
          <w:szCs w:val="24"/>
        </w:rPr>
        <w:t>eisių į juos registravimo ir nebaigto statyti ar rekonstruoti statinio kadastro duomenų Nekilnojamojo turto registre tikslinimo tvarkos pažeidimus juridiniams asmenims skiriama bauda nuo dviejų šimtų devyniasdešimties eurų iki penkių šimtų aštuoniasdešimti</w:t>
      </w:r>
      <w:r>
        <w:rPr>
          <w:color w:val="000000"/>
          <w:szCs w:val="24"/>
        </w:rPr>
        <w:t>es eurų.“</w:t>
      </w:r>
    </w:p>
    <w:p w14:paraId="75EFFD94" w14:textId="77777777" w:rsidR="00DA59F2" w:rsidRDefault="001915DC">
      <w:pPr>
        <w:spacing w:line="360" w:lineRule="auto"/>
        <w:ind w:firstLine="720"/>
        <w:jc w:val="both"/>
        <w:rPr>
          <w:b/>
          <w:color w:val="000000"/>
          <w:szCs w:val="24"/>
        </w:rPr>
      </w:pPr>
    </w:p>
    <w:p w14:paraId="75EFFD95" w14:textId="77777777" w:rsidR="00DA59F2" w:rsidRDefault="001915DC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55 straipsnio pakeitimas</w:t>
      </w:r>
    </w:p>
    <w:p w14:paraId="75EFFD96" w14:textId="77777777" w:rsidR="00DA59F2" w:rsidRDefault="001915D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55 straipsnį ir jį išdėstyti taip:</w:t>
      </w:r>
    </w:p>
    <w:p w14:paraId="75EFFD97" w14:textId="77777777" w:rsidR="00DA59F2" w:rsidRDefault="001915DC">
      <w:pPr>
        <w:spacing w:line="360" w:lineRule="auto"/>
        <w:ind w:left="2268" w:hanging="1548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color w:val="000000"/>
          <w:szCs w:val="24"/>
        </w:rPr>
        <w:t>55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Šio Įstatymo 46, 47, 48, 49, 50, 51, 52, 53, 54, 54</w:t>
      </w:r>
      <w:r>
        <w:rPr>
          <w:b/>
          <w:color w:val="000000"/>
          <w:szCs w:val="24"/>
          <w:vertAlign w:val="superscript"/>
        </w:rPr>
        <w:t>1</w:t>
      </w:r>
      <w:r>
        <w:rPr>
          <w:b/>
          <w:color w:val="000000"/>
          <w:szCs w:val="24"/>
        </w:rPr>
        <w:t xml:space="preserve"> ir 54</w:t>
      </w:r>
      <w:r>
        <w:rPr>
          <w:b/>
          <w:color w:val="000000"/>
          <w:szCs w:val="24"/>
          <w:vertAlign w:val="superscript"/>
        </w:rPr>
        <w:t>2</w:t>
      </w:r>
      <w:r>
        <w:rPr>
          <w:b/>
          <w:color w:val="000000"/>
          <w:szCs w:val="24"/>
        </w:rPr>
        <w:t xml:space="preserve"> straipsniuose nurodytų pažeidimų taikymo ir nagrinėjimo tvarka</w:t>
      </w:r>
    </w:p>
    <w:p w14:paraId="75EFFD98" w14:textId="77777777" w:rsidR="00DA59F2" w:rsidRDefault="001915D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Šio </w:t>
      </w:r>
      <w:r>
        <w:rPr>
          <w:color w:val="000000"/>
          <w:szCs w:val="24"/>
        </w:rPr>
        <w:t>Įstatymo 46, 47, 48, 49, 50, 51, 52, 53, 54, 54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ir 54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straipsniuose nurodyti pažeidimai taikomi ir juridinių asmenų filialams, taip pat kitoms užsienio organizacijoms; nurodyti pažeidimai tiriami, nagrinėjami, nutarimai skundžiami ir vykdomi tokia pačia </w:t>
      </w:r>
      <w:r>
        <w:rPr>
          <w:color w:val="000000"/>
          <w:szCs w:val="24"/>
        </w:rPr>
        <w:t>tvarka kaip atitinkamuose Administracinių teisės pažeidimų kodekso straipsniuose nurodyti pažeidimai.“</w:t>
      </w:r>
    </w:p>
    <w:p w14:paraId="75EFFD99" w14:textId="77777777" w:rsidR="00DA59F2" w:rsidRDefault="001915DC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5EFFD9A" w14:textId="77777777" w:rsidR="00DA59F2" w:rsidRDefault="001915D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  <w:lang w:eastAsia="lt-LT"/>
        </w:rPr>
        <w:t>Įstatymo įsigaliojimas ir įgyvendinimas</w:t>
      </w:r>
    </w:p>
    <w:p w14:paraId="75EFFD9B" w14:textId="77777777" w:rsidR="00DA59F2" w:rsidRDefault="001915D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2015 m. lapkričio 1 d</w:t>
      </w:r>
      <w:r>
        <w:rPr>
          <w:szCs w:val="24"/>
          <w:lang w:eastAsia="lt-LT"/>
        </w:rPr>
        <w:t>.</w:t>
      </w:r>
    </w:p>
    <w:p w14:paraId="75EFFD9C" w14:textId="77777777" w:rsidR="00DA59F2" w:rsidRDefault="001915D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Respublikos Vyriausybė iki 2015 m. spalio 31 d. priima šio įstatymo įgyvendinamuosius teisės aktus.</w:t>
      </w:r>
    </w:p>
    <w:p w14:paraId="75EFFD9D" w14:textId="77777777" w:rsidR="00DA59F2" w:rsidRDefault="001915D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Iki šio įstatymo įsigaliojimo baigti statyti, pradėti ir ilgiau kaip 3 metus nebaigti, tačiau Lietuvos Respublikos nekilnojamojo tu</w:t>
      </w:r>
      <w:r>
        <w:rPr>
          <w:szCs w:val="24"/>
          <w:lang w:eastAsia="lt-LT"/>
        </w:rPr>
        <w:t>rto registre neįregistruoti statiniai ir daiktinės teisės į juos turi būti įregistruoti Lietuvos Respublikos nekilnojamojo turto registre ne vėliau kaip per vienus metus nuo šio įstatymo įsigaliojimo dienos.</w:t>
      </w:r>
    </w:p>
    <w:p w14:paraId="75EFFD9E" w14:textId="77777777" w:rsidR="00DA59F2" w:rsidRDefault="001915DC">
      <w:pPr>
        <w:spacing w:line="360" w:lineRule="auto"/>
        <w:ind w:firstLine="720"/>
        <w:jc w:val="both"/>
      </w:pPr>
    </w:p>
    <w:bookmarkStart w:id="0" w:name="_GoBack" w:displacedByCustomXml="prev"/>
    <w:p w14:paraId="75EFFD9F" w14:textId="77777777" w:rsidR="00DA59F2" w:rsidRDefault="001915D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</w:t>
      </w:r>
      <w:r>
        <w:rPr>
          <w:i/>
          <w:szCs w:val="24"/>
        </w:rPr>
        <w:t>priimtą įstatymą.</w:t>
      </w:r>
    </w:p>
    <w:p w14:paraId="75EFFDA0" w14:textId="77777777" w:rsidR="00DA59F2" w:rsidRDefault="00DA59F2">
      <w:pPr>
        <w:spacing w:line="360" w:lineRule="auto"/>
        <w:rPr>
          <w:i/>
          <w:szCs w:val="24"/>
        </w:rPr>
      </w:pPr>
    </w:p>
    <w:p w14:paraId="75EFFDA1" w14:textId="77777777" w:rsidR="00DA59F2" w:rsidRDefault="00DA59F2">
      <w:pPr>
        <w:spacing w:line="360" w:lineRule="auto"/>
        <w:rPr>
          <w:i/>
          <w:szCs w:val="24"/>
        </w:rPr>
      </w:pPr>
    </w:p>
    <w:p w14:paraId="75EFFDA2" w14:textId="77777777" w:rsidR="00DA59F2" w:rsidRDefault="00DA59F2">
      <w:pPr>
        <w:spacing w:line="360" w:lineRule="auto"/>
      </w:pPr>
    </w:p>
    <w:p w14:paraId="75EFFDA3" w14:textId="77777777" w:rsidR="00DA59F2" w:rsidRDefault="001915D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DA5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FDA8" w14:textId="77777777" w:rsidR="00DA59F2" w:rsidRDefault="001915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5EFFDA9" w14:textId="77777777" w:rsidR="00DA59F2" w:rsidRDefault="001915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FDAE" w14:textId="77777777" w:rsidR="00DA59F2" w:rsidRDefault="001915D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5EFFDAF" w14:textId="77777777" w:rsidR="00DA59F2" w:rsidRDefault="00DA59F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FDB0" w14:textId="77777777" w:rsidR="00DA59F2" w:rsidRDefault="00DA59F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FDB2" w14:textId="77777777" w:rsidR="00DA59F2" w:rsidRDefault="00DA59F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FFDA6" w14:textId="77777777" w:rsidR="00DA59F2" w:rsidRDefault="001915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5EFFDA7" w14:textId="77777777" w:rsidR="00DA59F2" w:rsidRDefault="001915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FDAA" w14:textId="77777777" w:rsidR="00DA59F2" w:rsidRDefault="001915D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5EFFDAB" w14:textId="77777777" w:rsidR="00DA59F2" w:rsidRDefault="00DA59F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FDAC" w14:textId="77777777" w:rsidR="00DA59F2" w:rsidRDefault="001915D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75EFFDAD" w14:textId="77777777" w:rsidR="00DA59F2" w:rsidRDefault="00DA59F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FDB1" w14:textId="77777777" w:rsidR="00DA59F2" w:rsidRDefault="00DA59F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C5"/>
    <w:rsid w:val="001915DC"/>
    <w:rsid w:val="00DA59F2"/>
    <w:rsid w:val="00F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F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4760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5439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2015-07-01T09:47:00Z</dcterms:created>
  <dc:creator>MANIUŠKIENĖ Violeta</dc:creator>
  <lastModifiedBy>GUMBYTĖ Danguolė</lastModifiedBy>
  <lastPrinted>2004-12-10T05:45:00Z</lastPrinted>
  <dcterms:modified xsi:type="dcterms:W3CDTF">2015-07-01T11:32:00Z</dcterms:modified>
  <revision>3</revision>
</coreProperties>
</file>