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A7B0C" w14:textId="2E8542BF" w:rsidR="00F45A44" w:rsidRDefault="00F45A44" w:rsidP="00F45A44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 wp14:anchorId="78818D78" wp14:editId="1D1D1E05">
            <wp:extent cx="417195" cy="53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7E30" w14:textId="77777777" w:rsidR="00F45A44" w:rsidRDefault="00F45A44" w:rsidP="00F45A44">
      <w:pPr>
        <w:overflowPunct w:val="0"/>
        <w:spacing w:line="240" w:lineRule="atLeast"/>
        <w:ind w:firstLine="7750"/>
        <w:jc w:val="center"/>
        <w:rPr>
          <w:color w:val="000000"/>
          <w:szCs w:val="24"/>
        </w:rPr>
      </w:pPr>
    </w:p>
    <w:p w14:paraId="51665B1C" w14:textId="77777777" w:rsidR="00F45A44" w:rsidRDefault="00F45A44" w:rsidP="00F45A44">
      <w:pPr>
        <w:keepNext/>
        <w:overflowPunct w:val="0"/>
        <w:jc w:val="center"/>
        <w:outlineLvl w:val="1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Pagėgių savivaldybės taryba</w:t>
      </w:r>
    </w:p>
    <w:p w14:paraId="5EC21C82" w14:textId="77777777" w:rsidR="00F45A44" w:rsidRDefault="00F45A44" w:rsidP="00F45A44">
      <w:pPr>
        <w:jc w:val="center"/>
      </w:pPr>
    </w:p>
    <w:p w14:paraId="5DEA3F0B" w14:textId="77777777" w:rsidR="00F45A44" w:rsidRDefault="00F45A44" w:rsidP="00F45A44">
      <w:pPr>
        <w:overflowPunct w:val="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sprendimas</w:t>
      </w:r>
    </w:p>
    <w:p w14:paraId="441B6487" w14:textId="77777777" w:rsidR="00F45A44" w:rsidRDefault="00F45A44" w:rsidP="00F45A44">
      <w:pPr>
        <w:overflowPunct w:val="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szCs w:val="24"/>
        </w:rPr>
        <w:t xml:space="preserve">DĖL PAGĖGIŲ SAVIVALDYBĖS </w:t>
      </w:r>
      <w:r>
        <w:rPr>
          <w:b/>
          <w:bCs/>
          <w:color w:val="000000"/>
          <w:szCs w:val="24"/>
        </w:rPr>
        <w:t>VAIKO GLOBOS CENTRO MAITINIMO  IŠLAIDŲ, IŠLAIDŲ MEDIKAMENTAMS, APRANGAI IR PATALYNEI FINANSINIŲ NORMATYVŲ PATVIRTINIMO</w:t>
      </w:r>
    </w:p>
    <w:p w14:paraId="03DAC512" w14:textId="77777777" w:rsidR="00F45A44" w:rsidRDefault="00F45A44" w:rsidP="00F45A44">
      <w:pPr>
        <w:keepNext/>
        <w:overflowPunct w:val="0"/>
        <w:jc w:val="center"/>
        <w:outlineLvl w:val="1"/>
        <w:rPr>
          <w:color w:val="000000"/>
          <w:szCs w:val="24"/>
        </w:rPr>
      </w:pPr>
    </w:p>
    <w:p w14:paraId="2CEAFE80" w14:textId="77777777" w:rsidR="00F45A44" w:rsidRDefault="00F45A44" w:rsidP="00F45A44">
      <w:pPr>
        <w:keepNext/>
        <w:overflowPunct w:val="0"/>
        <w:jc w:val="center"/>
        <w:outlineLvl w:val="1"/>
        <w:rPr>
          <w:color w:val="000000"/>
          <w:szCs w:val="24"/>
        </w:rPr>
      </w:pPr>
      <w:r>
        <w:rPr>
          <w:color w:val="000000"/>
          <w:szCs w:val="24"/>
        </w:rPr>
        <w:t>2018 m. lapkričio 6 d. Nr. T-152</w:t>
      </w:r>
    </w:p>
    <w:p w14:paraId="4E323E01" w14:textId="77777777" w:rsidR="00F45A44" w:rsidRDefault="00F45A44" w:rsidP="00F45A44">
      <w:pPr>
        <w:overflowPunct w:val="0"/>
        <w:jc w:val="center"/>
        <w:rPr>
          <w:szCs w:val="24"/>
        </w:rPr>
      </w:pPr>
      <w:r>
        <w:rPr>
          <w:szCs w:val="24"/>
        </w:rPr>
        <w:t>Pagėgiai</w:t>
      </w:r>
    </w:p>
    <w:p w14:paraId="7AC6F2F7" w14:textId="77777777" w:rsidR="00F45A44" w:rsidRDefault="00F45A44" w:rsidP="00F45A44">
      <w:pPr>
        <w:overflowPunct w:val="0"/>
        <w:jc w:val="center"/>
        <w:rPr>
          <w:szCs w:val="24"/>
        </w:rPr>
      </w:pPr>
    </w:p>
    <w:p w14:paraId="3D63ED1C" w14:textId="582C88F3" w:rsidR="00F45A44" w:rsidRDefault="00F45A44" w:rsidP="00F45A44">
      <w:pPr>
        <w:overflowPunct w:val="0"/>
        <w:jc w:val="center"/>
        <w:rPr>
          <w:szCs w:val="24"/>
        </w:rPr>
      </w:pPr>
    </w:p>
    <w:p w14:paraId="6439A6C7" w14:textId="5A382014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color w:val="000000"/>
          <w:szCs w:val="24"/>
        </w:rPr>
        <w:t xml:space="preserve">Vadovaudamasi Lietuvos Respublikos vietos savivaldos įstatymo 16 straipsnio 4 dalimi, 18 straipsnio 1 dalimi, </w:t>
      </w:r>
      <w:r>
        <w:rPr>
          <w:szCs w:val="24"/>
        </w:rPr>
        <w:t>Socialinių paslaugų finansavimo ir lėšų apskaičiavimo metodikos, patvirtintos Lietuvos Respublikos Vyriausybės 2006 m. spalio 10 d. nutarimu Nr. 9</w:t>
      </w:r>
      <w:r>
        <w:rPr>
          <w:szCs w:val="24"/>
        </w:rPr>
        <w:t>78 „Dėl socialinių paslaugų finansavimo ir lėšų apskaičiavimo metodikos patvirtinimo“, 28 punktu, Pagėgių savivaldybės taryba  n u s p r e n d ž i a:</w:t>
      </w:r>
    </w:p>
    <w:p w14:paraId="6439A6C8" w14:textId="16F1748B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Patvirtinti Pagėgių vaikų globos centro maitinimo išlaidų, išlaidų medikamentams, aprangai ir patalyn</w:t>
      </w:r>
      <w:r>
        <w:rPr>
          <w:szCs w:val="24"/>
        </w:rPr>
        <w:t>ei finansinius normatyvus:</w:t>
      </w:r>
    </w:p>
    <w:p w14:paraId="6439A6C9" w14:textId="77777777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Maitinimo  išlaidų finansinį normatyvą vienam globotiniui parai:</w:t>
      </w:r>
    </w:p>
    <w:p w14:paraId="6439A6CA" w14:textId="77777777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1.1.1</w:t>
      </w:r>
      <w:r>
        <w:rPr>
          <w:szCs w:val="24"/>
        </w:rPr>
        <w:t xml:space="preserve">. 0 – 6 metų – 3,40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6439A6CB" w14:textId="77777777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1.1.2</w:t>
      </w:r>
      <w:r>
        <w:rPr>
          <w:szCs w:val="24"/>
        </w:rPr>
        <w:t xml:space="preserve">. 7 – 18 metų ir vyresni – 4,20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6439A6CC" w14:textId="77777777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1.1.3</w:t>
      </w:r>
      <w:r>
        <w:rPr>
          <w:szCs w:val="24"/>
        </w:rPr>
        <w:t xml:space="preserve">. sekmadieniais ir švenčių dienomis finansinis normatyvas maitinimui </w:t>
      </w:r>
      <w:r>
        <w:rPr>
          <w:szCs w:val="24"/>
        </w:rPr>
        <w:t>didinamas 0,30 eurų globotiniui;</w:t>
      </w:r>
    </w:p>
    <w:p w14:paraId="6439A6CD" w14:textId="77777777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1.1.4</w:t>
      </w:r>
      <w:r>
        <w:rPr>
          <w:szCs w:val="24"/>
        </w:rPr>
        <w:t>. maitinimo išlaidos per parą vienam asmeniui gali svyruoti nuo patvirtinto finansinio normatyvo 0,15 euro, tačiau vieno mėnesio faktinių maitinimo išlaidų, tenkančių vienam asmeniui per parą, vidurkis turi atitikt</w:t>
      </w:r>
      <w:r>
        <w:rPr>
          <w:szCs w:val="24"/>
        </w:rPr>
        <w:t>i patvirtintą išlaidų normatyvą.</w:t>
      </w:r>
    </w:p>
    <w:p w14:paraId="6439A6CE" w14:textId="77777777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išlaidų medikamentams finansinį normatyvą vienam globotiniui parai – 0,30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parai;</w:t>
      </w:r>
    </w:p>
    <w:p w14:paraId="6439A6CF" w14:textId="153D9021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 xml:space="preserve">. išlaidų aprangai ir patalynei finansinį normatyvą vienam globotiniui – 37,5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mėnesiui.</w:t>
      </w:r>
    </w:p>
    <w:p w14:paraId="6439A6D0" w14:textId="3268F998" w:rsidR="00BD096C" w:rsidRDefault="00F45A44">
      <w:pPr>
        <w:overflowPunct w:val="0"/>
        <w:ind w:firstLine="1296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Pripažinti netekusi</w:t>
      </w:r>
      <w:r>
        <w:rPr>
          <w:szCs w:val="24"/>
        </w:rPr>
        <w:t>u galios Pagėgių savivaldybės tarybos 2014 m. gruodžio 18 d. sprendimą Nr. T-219 „Dėl Pagėgių vaikų globos namų maitinimo išlaidų, išlaidų medikamentams, aprangai ir patalynei finansinių normatyvų patvirtinimo“.</w:t>
      </w:r>
    </w:p>
    <w:p w14:paraId="6439A6D1" w14:textId="604F36DF" w:rsidR="00BD096C" w:rsidRDefault="00F45A44">
      <w:pPr>
        <w:ind w:firstLine="1340"/>
        <w:jc w:val="both"/>
        <w:rPr>
          <w:szCs w:val="24"/>
          <w:lang w:val="pt-BR"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szCs w:val="24"/>
          <w:lang w:val="pt-BR"/>
        </w:rPr>
        <w:t>Sprendimą paskelbti Teisės aktų registre ir Pagėgių savivaldybės interneto svetainėje www.pagegiai.lt.</w:t>
      </w:r>
    </w:p>
    <w:bookmarkStart w:id="0" w:name="_GoBack" w:displacedByCustomXml="prev"/>
    <w:p w14:paraId="6439A6D5" w14:textId="6E201BF5" w:rsidR="00BD096C" w:rsidRDefault="00F45A44" w:rsidP="00F45A44">
      <w:pPr>
        <w:ind w:firstLine="1340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Šis sprendimas gali būti skundžiamas Regionų apygardos administracinio teismo Klaipėdos rūmams (Galinio Pylimo g. 9, 91230 Klaipėda) Lietuvos Respublikos</w:t>
      </w:r>
      <w:r>
        <w:rPr>
          <w:color w:val="000000"/>
          <w:szCs w:val="24"/>
          <w:lang w:eastAsia="lt-LT"/>
        </w:rPr>
        <w:t xml:space="preserve"> administracinių bylų teisenos įstatymo nustatyta tvarka per 1 (vieną) mėnesį nuo sprendimo paskelbimo dienos. </w:t>
      </w:r>
    </w:p>
    <w:bookmarkEnd w:id="0" w:displacedByCustomXml="next"/>
    <w:p w14:paraId="6B718483" w14:textId="77777777" w:rsidR="00F45A44" w:rsidRDefault="00F45A44">
      <w:pPr>
        <w:overflowPunct w:val="0"/>
        <w:jc w:val="both"/>
      </w:pPr>
    </w:p>
    <w:p w14:paraId="734CCC41" w14:textId="77777777" w:rsidR="00F45A44" w:rsidRDefault="00F45A44">
      <w:pPr>
        <w:overflowPunct w:val="0"/>
        <w:jc w:val="both"/>
      </w:pPr>
    </w:p>
    <w:p w14:paraId="6444C608" w14:textId="77777777" w:rsidR="00F45A44" w:rsidRDefault="00F45A44">
      <w:pPr>
        <w:overflowPunct w:val="0"/>
        <w:jc w:val="both"/>
      </w:pPr>
    </w:p>
    <w:p w14:paraId="6439A6D6" w14:textId="655E4DD3" w:rsidR="00BD096C" w:rsidRDefault="00F45A44">
      <w:pPr>
        <w:overflowPunct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Savivaldybės meras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Virginijus </w:t>
      </w:r>
      <w:proofErr w:type="spellStart"/>
      <w:r>
        <w:rPr>
          <w:color w:val="000000"/>
          <w:szCs w:val="24"/>
        </w:rPr>
        <w:t>Komskis</w:t>
      </w:r>
      <w:proofErr w:type="spellEnd"/>
    </w:p>
    <w:sectPr w:rsidR="00BD0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A6DB" w14:textId="77777777" w:rsidR="00BD096C" w:rsidRDefault="00F45A44">
      <w:pPr>
        <w:overflowPunct w:val="0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439A6DC" w14:textId="77777777" w:rsidR="00BD096C" w:rsidRDefault="00F45A44">
      <w:pPr>
        <w:overflowPunct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A6DF" w14:textId="77777777" w:rsidR="00BD096C" w:rsidRDefault="00BD096C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A6E0" w14:textId="77777777" w:rsidR="00BD096C" w:rsidRDefault="00BD096C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A6E2" w14:textId="77777777" w:rsidR="00BD096C" w:rsidRDefault="00BD096C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9A6D9" w14:textId="77777777" w:rsidR="00BD096C" w:rsidRDefault="00F45A44">
      <w:pPr>
        <w:overflowPunct w:val="0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439A6DA" w14:textId="77777777" w:rsidR="00BD096C" w:rsidRDefault="00F45A44">
      <w:pPr>
        <w:overflowPunct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A6DD" w14:textId="77777777" w:rsidR="00BD096C" w:rsidRDefault="00BD096C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A6DE" w14:textId="77777777" w:rsidR="00BD096C" w:rsidRDefault="00F45A44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7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A6E1" w14:textId="77777777" w:rsidR="00BD096C" w:rsidRDefault="00BD096C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F"/>
    <w:rsid w:val="00BD096C"/>
    <w:rsid w:val="00C76A0F"/>
    <w:rsid w:val="00F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A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5A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5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5B3744-90B1-478F-8DAC-229A0B76F897}"/>
      </w:docPartPr>
      <w:docPartBody>
        <w:p w14:paraId="10F5CFA8" w14:textId="25D3F09E" w:rsidR="00000000" w:rsidRDefault="00597B8A">
          <w:r w:rsidRPr="002B5367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8A"/>
    <w:rsid w:val="005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7B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7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1884</Characters>
  <Application>Microsoft Office Word</Application>
  <DocSecurity>0</DocSecurity>
  <Lines>15</Lines>
  <Paragraphs>4</Paragraphs>
  <ScaleCrop>false</ScaleCrop>
  <Company>Bluestone Lodge Pty Ltd</Company>
  <LinksUpToDate>false</LinksUpToDate>
  <CharactersWithSpaces>2149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2018-11-07T11:05:00Z</dcterms:created>
  <dc:creator>Comp</dc:creator>
  <lastModifiedBy>ŠAULYTĖ SKAIRIENĖ Dalia</lastModifiedBy>
  <lastPrinted>2017-10-18T05:55:00Z</lastPrinted>
  <dcterms:modified xsi:type="dcterms:W3CDTF">2018-11-07T11:48:00Z</dcterms:modified>
  <revision>3</revision>
</coreProperties>
</file>