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commentsIds.xml" ContentType="application/vnd.openxmlformats-officedocument.wordprocessingml.commentsId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93C10D" w14:textId="77777777" w:rsidR="0061448E" w:rsidRDefault="0061448E">
      <w:pPr>
        <w:tabs>
          <w:tab w:val="center" w:pos="4153"/>
          <w:tab w:val="right" w:pos="8306"/>
        </w:tabs>
        <w:rPr>
          <w:szCs w:val="24"/>
        </w:rPr>
      </w:pPr>
    </w:p>
    <w:p w14:paraId="5893C10E" w14:textId="77777777" w:rsidR="0061448E" w:rsidRDefault="0061448E">
      <w:pPr>
        <w:tabs>
          <w:tab w:val="center" w:pos="4153"/>
          <w:tab w:val="right" w:pos="8306"/>
        </w:tabs>
        <w:rPr>
          <w:szCs w:val="24"/>
        </w:rPr>
      </w:pPr>
    </w:p>
    <w:p w14:paraId="5893C10F" w14:textId="77777777" w:rsidR="0061448E" w:rsidRDefault="009E0CB5">
      <w:pPr>
        <w:tabs>
          <w:tab w:val="right" w:pos="8306"/>
        </w:tabs>
        <w:jc w:val="center"/>
        <w:rPr>
          <w:szCs w:val="24"/>
        </w:rPr>
      </w:pPr>
      <w:r>
        <w:rPr>
          <w:noProof/>
          <w:szCs w:val="24"/>
          <w:lang w:eastAsia="lt-LT"/>
        </w:rPr>
        <w:drawing>
          <wp:inline distT="0" distB="0" distL="0" distR="0" wp14:anchorId="5893C12C" wp14:editId="5893C12D">
            <wp:extent cx="561975" cy="552450"/>
            <wp:effectExtent l="0" t="0" r="9525" b="0"/>
            <wp:docPr id="1" name="Picture 1"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image0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1975" cy="552450"/>
                    </a:xfrm>
                    <a:prstGeom prst="rect">
                      <a:avLst/>
                    </a:prstGeom>
                    <a:noFill/>
                    <a:ln>
                      <a:noFill/>
                    </a:ln>
                  </pic:spPr>
                </pic:pic>
              </a:graphicData>
            </a:graphic>
          </wp:inline>
        </w:drawing>
      </w:r>
    </w:p>
    <w:p w14:paraId="5893C110" w14:textId="77777777" w:rsidR="0061448E" w:rsidRDefault="0061448E">
      <w:pPr>
        <w:tabs>
          <w:tab w:val="right" w:pos="8306"/>
        </w:tabs>
        <w:jc w:val="center"/>
        <w:rPr>
          <w:szCs w:val="24"/>
        </w:rPr>
      </w:pPr>
    </w:p>
    <w:p w14:paraId="5893C111" w14:textId="77777777" w:rsidR="0061448E" w:rsidRDefault="009E0CB5">
      <w:pPr>
        <w:keepNext/>
        <w:jc w:val="center"/>
        <w:rPr>
          <w:b/>
          <w:bCs/>
          <w:szCs w:val="24"/>
        </w:rPr>
      </w:pPr>
      <w:r>
        <w:rPr>
          <w:b/>
          <w:bCs/>
          <w:szCs w:val="24"/>
        </w:rPr>
        <w:t>LIETUVOS RESPUBLIKOS TEISINGUMO MINISTRAS</w:t>
      </w:r>
    </w:p>
    <w:p w14:paraId="5893C112" w14:textId="77777777" w:rsidR="0061448E" w:rsidRDefault="0061448E">
      <w:pPr>
        <w:jc w:val="center"/>
        <w:rPr>
          <w:szCs w:val="24"/>
        </w:rPr>
      </w:pPr>
    </w:p>
    <w:p w14:paraId="5893C113" w14:textId="77777777" w:rsidR="0061448E" w:rsidRDefault="009E0CB5">
      <w:pPr>
        <w:keepNext/>
        <w:jc w:val="center"/>
        <w:rPr>
          <w:b/>
          <w:bCs/>
          <w:szCs w:val="24"/>
        </w:rPr>
      </w:pPr>
      <w:r>
        <w:rPr>
          <w:b/>
          <w:bCs/>
          <w:szCs w:val="24"/>
        </w:rPr>
        <w:t>ĮSAKYMAS</w:t>
      </w:r>
    </w:p>
    <w:p w14:paraId="5893C114" w14:textId="77777777" w:rsidR="0061448E" w:rsidRDefault="009E0CB5">
      <w:pPr>
        <w:keepNext/>
        <w:jc w:val="center"/>
        <w:rPr>
          <w:b/>
          <w:bCs/>
          <w:color w:val="000000"/>
          <w:szCs w:val="24"/>
        </w:rPr>
      </w:pPr>
      <w:r>
        <w:rPr>
          <w:b/>
          <w:bCs/>
          <w:szCs w:val="24"/>
        </w:rPr>
        <w:t xml:space="preserve">DĖL TEISINGUMO MINISTRO </w:t>
      </w:r>
      <w:r>
        <w:rPr>
          <w:b/>
          <w:bCs/>
          <w:color w:val="000000"/>
          <w:szCs w:val="24"/>
        </w:rPr>
        <w:t xml:space="preserve">2020 M. KOVO 16 D. </w:t>
      </w:r>
      <w:r>
        <w:rPr>
          <w:b/>
          <w:bCs/>
          <w:szCs w:val="24"/>
        </w:rPr>
        <w:t xml:space="preserve">ĮSAKYMO </w:t>
      </w:r>
      <w:r>
        <w:rPr>
          <w:b/>
          <w:bCs/>
          <w:color w:val="000000"/>
          <w:szCs w:val="24"/>
        </w:rPr>
        <w:t xml:space="preserve">NR. 1R-76 </w:t>
      </w:r>
    </w:p>
    <w:p w14:paraId="5893C115" w14:textId="77777777" w:rsidR="0061448E" w:rsidRDefault="009E0CB5">
      <w:pPr>
        <w:keepNext/>
        <w:jc w:val="center"/>
        <w:rPr>
          <w:b/>
          <w:bCs/>
          <w:szCs w:val="24"/>
        </w:rPr>
      </w:pPr>
      <w:r>
        <w:rPr>
          <w:b/>
          <w:bCs/>
          <w:color w:val="000000"/>
          <w:szCs w:val="24"/>
        </w:rPr>
        <w:t xml:space="preserve">„DĖL </w:t>
      </w:r>
      <w:r>
        <w:rPr>
          <w:b/>
          <w:color w:val="000000"/>
          <w:szCs w:val="24"/>
        </w:rPr>
        <w:t>NOTARŲ IR ANTSTOLIŲ DARBO EKSTREMALIOS SITUACIJOS ATVEJU“</w:t>
      </w:r>
      <w:r>
        <w:rPr>
          <w:b/>
          <w:bCs/>
          <w:szCs w:val="24"/>
        </w:rPr>
        <w:t xml:space="preserve"> PAKEITIMO</w:t>
      </w:r>
    </w:p>
    <w:p w14:paraId="5893C116" w14:textId="77777777" w:rsidR="0061448E" w:rsidRDefault="0061448E">
      <w:pPr>
        <w:tabs>
          <w:tab w:val="left" w:pos="1296"/>
          <w:tab w:val="center" w:pos="4153"/>
          <w:tab w:val="right" w:pos="8306"/>
        </w:tabs>
        <w:rPr>
          <w:b/>
          <w:szCs w:val="24"/>
        </w:rPr>
      </w:pPr>
    </w:p>
    <w:p w14:paraId="5893C117" w14:textId="3A393C37" w:rsidR="0061448E" w:rsidRDefault="009E0CB5">
      <w:pPr>
        <w:tabs>
          <w:tab w:val="left" w:pos="1296"/>
          <w:tab w:val="center" w:pos="4153"/>
          <w:tab w:val="right" w:pos="8306"/>
        </w:tabs>
        <w:jc w:val="center"/>
        <w:rPr>
          <w:szCs w:val="24"/>
        </w:rPr>
      </w:pPr>
      <w:r>
        <w:rPr>
          <w:szCs w:val="24"/>
        </w:rPr>
        <w:t>2020 m. gegužės 27</w:t>
      </w:r>
      <w:r>
        <w:rPr>
          <w:szCs w:val="24"/>
        </w:rPr>
        <w:t xml:space="preserve"> d. Nr. </w:t>
      </w:r>
      <w:r>
        <w:t>1R-151</w:t>
      </w:r>
    </w:p>
    <w:p w14:paraId="5893C118" w14:textId="77777777" w:rsidR="0061448E" w:rsidRDefault="009E0CB5">
      <w:pPr>
        <w:tabs>
          <w:tab w:val="left" w:pos="1296"/>
          <w:tab w:val="center" w:pos="4153"/>
          <w:tab w:val="right" w:pos="8306"/>
        </w:tabs>
        <w:jc w:val="center"/>
        <w:rPr>
          <w:szCs w:val="24"/>
        </w:rPr>
      </w:pPr>
      <w:r>
        <w:rPr>
          <w:szCs w:val="24"/>
        </w:rPr>
        <w:t>Vilnius</w:t>
      </w:r>
    </w:p>
    <w:p w14:paraId="5893C119" w14:textId="77777777" w:rsidR="0061448E" w:rsidRDefault="0061448E">
      <w:pPr>
        <w:tabs>
          <w:tab w:val="left" w:pos="1296"/>
          <w:tab w:val="center" w:pos="4153"/>
          <w:tab w:val="right" w:pos="8306"/>
        </w:tabs>
        <w:rPr>
          <w:szCs w:val="24"/>
        </w:rPr>
      </w:pPr>
    </w:p>
    <w:p w14:paraId="5893C11A" w14:textId="77777777" w:rsidR="0061448E" w:rsidRDefault="009E0CB5">
      <w:pPr>
        <w:tabs>
          <w:tab w:val="left" w:pos="1134"/>
          <w:tab w:val="center" w:pos="4153"/>
          <w:tab w:val="right" w:pos="8306"/>
        </w:tabs>
        <w:ind w:firstLine="851"/>
        <w:jc w:val="both"/>
        <w:rPr>
          <w:color w:val="000000"/>
          <w:szCs w:val="24"/>
        </w:rPr>
      </w:pPr>
      <w:r>
        <w:rPr>
          <w:spacing w:val="70"/>
          <w:szCs w:val="24"/>
        </w:rPr>
        <w:t>Pakeiči</w:t>
      </w:r>
      <w:r>
        <w:rPr>
          <w:spacing w:val="60"/>
          <w:szCs w:val="24"/>
        </w:rPr>
        <w:t>u</w:t>
      </w:r>
      <w:r>
        <w:rPr>
          <w:szCs w:val="24"/>
        </w:rPr>
        <w:t xml:space="preserve"> Lietuvos Respublikos teisingumo ministro </w:t>
      </w:r>
      <w:r>
        <w:rPr>
          <w:color w:val="000000"/>
          <w:szCs w:val="24"/>
        </w:rPr>
        <w:t xml:space="preserve">2020 m. kovo 16 d. </w:t>
      </w:r>
      <w:r>
        <w:rPr>
          <w:szCs w:val="24"/>
        </w:rPr>
        <w:t xml:space="preserve">įsakymą </w:t>
      </w:r>
      <w:r>
        <w:rPr>
          <w:color w:val="000000"/>
          <w:szCs w:val="24"/>
        </w:rPr>
        <w:t>Nr. 1R-76 „Dėl notarų ir antstolių darbo ekstremalios situacijos atveju“ ir jį išdėstau nauja redakcija:</w:t>
      </w:r>
    </w:p>
    <w:p w14:paraId="5893C11B" w14:textId="77777777" w:rsidR="0061448E" w:rsidRDefault="009E0CB5">
      <w:pPr>
        <w:keepNext/>
        <w:jc w:val="center"/>
        <w:rPr>
          <w:b/>
          <w:bCs/>
          <w:szCs w:val="24"/>
        </w:rPr>
      </w:pPr>
      <w:r>
        <w:rPr>
          <w:bCs/>
          <w:szCs w:val="24"/>
        </w:rPr>
        <w:t>„</w:t>
      </w:r>
      <w:r>
        <w:rPr>
          <w:b/>
          <w:bCs/>
          <w:szCs w:val="24"/>
        </w:rPr>
        <w:t>LIETUVOS RESPUBLIKOS TEISINGUMO MINISTRAS</w:t>
      </w:r>
    </w:p>
    <w:p w14:paraId="5893C11C" w14:textId="77777777" w:rsidR="0061448E" w:rsidRDefault="0061448E"/>
    <w:p w14:paraId="5893C11D" w14:textId="77777777" w:rsidR="0061448E" w:rsidRDefault="009E0CB5">
      <w:pPr>
        <w:keepNext/>
        <w:jc w:val="center"/>
        <w:rPr>
          <w:b/>
          <w:bCs/>
          <w:szCs w:val="24"/>
        </w:rPr>
      </w:pPr>
      <w:r>
        <w:rPr>
          <w:b/>
          <w:bCs/>
          <w:szCs w:val="24"/>
        </w:rPr>
        <w:t>ĮSAKYMAS</w:t>
      </w:r>
    </w:p>
    <w:p w14:paraId="5893C11E" w14:textId="77777777" w:rsidR="0061448E" w:rsidRDefault="009E0CB5">
      <w:pPr>
        <w:jc w:val="center"/>
        <w:rPr>
          <w:szCs w:val="24"/>
        </w:rPr>
      </w:pPr>
      <w:r>
        <w:rPr>
          <w:b/>
          <w:color w:val="000000"/>
          <w:szCs w:val="24"/>
        </w:rPr>
        <w:t>DĖL NOTARŲ IR ANTSTOLIŲ DARBO</w:t>
      </w:r>
      <w:r>
        <w:rPr>
          <w:b/>
          <w:color w:val="000000"/>
          <w:szCs w:val="24"/>
        </w:rPr>
        <w:t xml:space="preserve"> EKSTREMALIOS SITUACIJOS ATVEJU</w:t>
      </w:r>
    </w:p>
    <w:p w14:paraId="5893C11F" w14:textId="77777777" w:rsidR="0061448E" w:rsidRDefault="0061448E">
      <w:pPr>
        <w:tabs>
          <w:tab w:val="left" w:pos="1134"/>
          <w:tab w:val="center" w:pos="1418"/>
          <w:tab w:val="right" w:pos="8306"/>
        </w:tabs>
        <w:jc w:val="both"/>
        <w:rPr>
          <w:szCs w:val="24"/>
        </w:rPr>
      </w:pPr>
    </w:p>
    <w:p w14:paraId="5893C120" w14:textId="77777777" w:rsidR="0061448E" w:rsidRDefault="009E0CB5">
      <w:pPr>
        <w:tabs>
          <w:tab w:val="left" w:pos="1134"/>
          <w:tab w:val="center" w:pos="1418"/>
          <w:tab w:val="right" w:pos="8306"/>
        </w:tabs>
        <w:ind w:firstLine="851"/>
        <w:jc w:val="both"/>
        <w:rPr>
          <w:color w:val="000000"/>
          <w:szCs w:val="24"/>
        </w:rPr>
      </w:pPr>
      <w:r>
        <w:rPr>
          <w:color w:val="000000"/>
          <w:szCs w:val="24"/>
        </w:rPr>
        <w:t xml:space="preserve">Vadovaudamasis Lietuvos </w:t>
      </w:r>
      <w:r>
        <w:rPr>
          <w:szCs w:val="24"/>
        </w:rPr>
        <w:t>Respublikos notariato įstatymo 6 straipsnio 3 dalimi, Lietuvos Respublikos antstolių įstatymo 18 straipsnio 3 dalimi, Lietuvos Respublikos Vyriausybės 2020 m. vasario 26 d. nutarimu Nr. 152 „Dėl valstybės lygio ekstremaliosios situacijos paskelbimo“, Lietu</w:t>
      </w:r>
      <w:r>
        <w:rPr>
          <w:szCs w:val="24"/>
        </w:rPr>
        <w:t xml:space="preserve">vos Respublikos Vyriausybės </w:t>
      </w:r>
      <w:r>
        <w:rPr>
          <w:color w:val="000000"/>
          <w:szCs w:val="24"/>
        </w:rPr>
        <w:t>2020 m. kovo 14 d. nutarimu Nr. 207 „Dėl karantino Lietuvos Respublikos teritorijoje paskelbimo“, Reikalavimų, keliamų notarų biurams ir notarų darbo laikui, patvirtintų Lietuvos Respublikos teisingumo ministro 2004 m. gegužės 1</w:t>
      </w:r>
      <w:r>
        <w:rPr>
          <w:color w:val="000000"/>
          <w:szCs w:val="24"/>
        </w:rPr>
        <w:t>7 d. įsakymu Nr. 1R-119 „Dėl Reikalavimų, keliamų notarų biurams ir notarų darbo laikui, patvirtinimo“, 16 punktu, Reikalavimų antstolio (antstolių) darbo vietai bei darbo laikui, patvirtintų Lietuvos Respublikos teisingumo ministro 2002 m. rugsėjo 23 d. į</w:t>
      </w:r>
      <w:r>
        <w:rPr>
          <w:color w:val="000000"/>
          <w:szCs w:val="24"/>
        </w:rPr>
        <w:t>sakymu Nr. 254 „Dėl Reikalavimų antstolio (antstolių) darbo vietai bei darbo laikui patvirtinimo“, 24 punktu, atsižvelgdamas į būtinybę imtis saugumo priemonių karantino režimo laikotarpiu, nurodytu Lietuvos Respublikos Vyriausybės 2020 m. kovo 14 d. nutar</w:t>
      </w:r>
      <w:r>
        <w:rPr>
          <w:color w:val="000000"/>
          <w:szCs w:val="24"/>
        </w:rPr>
        <w:t>ime Nr. 207 „Dėl karantino Lietuvos Respublikos teritorijoje paskelbimo“:</w:t>
      </w:r>
    </w:p>
    <w:p w14:paraId="5893C121" w14:textId="77777777" w:rsidR="0061448E" w:rsidRDefault="009E0CB5">
      <w:pPr>
        <w:tabs>
          <w:tab w:val="left" w:pos="1134"/>
          <w:tab w:val="center" w:pos="1418"/>
          <w:tab w:val="right" w:pos="8306"/>
        </w:tabs>
        <w:ind w:left="851"/>
        <w:jc w:val="both"/>
        <w:rPr>
          <w:szCs w:val="24"/>
        </w:rPr>
      </w:pPr>
      <w:r>
        <w:rPr>
          <w:szCs w:val="24"/>
        </w:rPr>
        <w:t>1</w:t>
      </w:r>
      <w:r>
        <w:rPr>
          <w:szCs w:val="24"/>
        </w:rPr>
        <w:t xml:space="preserve">. </w:t>
      </w:r>
      <w:r>
        <w:rPr>
          <w:spacing w:val="70"/>
          <w:szCs w:val="24"/>
        </w:rPr>
        <w:t>Įpareigoj</w:t>
      </w:r>
      <w:r>
        <w:rPr>
          <w:szCs w:val="24"/>
        </w:rPr>
        <w:t>u:</w:t>
      </w:r>
    </w:p>
    <w:p w14:paraId="5893C122" w14:textId="77777777" w:rsidR="0061448E" w:rsidRDefault="009E0CB5">
      <w:pPr>
        <w:tabs>
          <w:tab w:val="left" w:pos="1276"/>
          <w:tab w:val="center" w:pos="1418"/>
          <w:tab w:val="right" w:pos="8306"/>
        </w:tabs>
        <w:ind w:firstLine="851"/>
        <w:jc w:val="both"/>
        <w:rPr>
          <w:szCs w:val="24"/>
        </w:rPr>
      </w:pPr>
      <w:r>
        <w:rPr>
          <w:szCs w:val="24"/>
        </w:rPr>
        <w:t>1.1</w:t>
      </w:r>
      <w:r>
        <w:rPr>
          <w:szCs w:val="24"/>
        </w:rPr>
        <w:t>.</w:t>
      </w:r>
      <w:r>
        <w:rPr>
          <w:szCs w:val="24"/>
        </w:rPr>
        <w:tab/>
      </w:r>
      <w:r>
        <w:rPr>
          <w:color w:val="000000"/>
          <w:szCs w:val="24"/>
        </w:rPr>
        <w:t>notarus ir antstolius</w:t>
      </w:r>
      <w:r>
        <w:rPr>
          <w:szCs w:val="24"/>
        </w:rPr>
        <w:t xml:space="preserve"> i</w:t>
      </w:r>
      <w:r>
        <w:rPr>
          <w:szCs w:val="24"/>
          <w:shd w:val="clear" w:color="auto" w:fill="FFFFFF"/>
        </w:rPr>
        <w:t xml:space="preserve">mtis visų galimų atsargumo priemonių, susijusių su viruso COVID-19 plitimo grėsmės prevencija, </w:t>
      </w:r>
      <w:r>
        <w:rPr>
          <w:szCs w:val="24"/>
        </w:rPr>
        <w:t xml:space="preserve">laikytis visų Lietuvos Respublikos </w:t>
      </w:r>
      <w:r>
        <w:rPr>
          <w:szCs w:val="24"/>
        </w:rPr>
        <w:t>sveikatos apsaugos ministerijos ir kitų kompetentingų valstybės institucijų rekomendacijų</w:t>
      </w:r>
      <w:r>
        <w:rPr>
          <w:szCs w:val="24"/>
          <w:shd w:val="clear" w:color="auto" w:fill="FFFFFF"/>
        </w:rPr>
        <w:t xml:space="preserve"> dėl viruso COVID-19 plitimo grėsmės prevencijos</w:t>
      </w:r>
      <w:r>
        <w:rPr>
          <w:rFonts w:eastAsia="Calibri"/>
          <w:szCs w:val="24"/>
        </w:rPr>
        <w:t xml:space="preserve">, sekti kitą aktualią informaciją, skelbiamą </w:t>
      </w:r>
      <w:proofErr w:type="spellStart"/>
      <w:r>
        <w:rPr>
          <w:rFonts w:eastAsia="Calibri"/>
          <w:szCs w:val="24"/>
        </w:rPr>
        <w:t>www.sam.lrv.lt</w:t>
      </w:r>
      <w:proofErr w:type="spellEnd"/>
      <w:r>
        <w:rPr>
          <w:rFonts w:eastAsia="Calibri"/>
          <w:szCs w:val="24"/>
        </w:rPr>
        <w:t xml:space="preserve"> svetainėje;</w:t>
      </w:r>
    </w:p>
    <w:p w14:paraId="5893C123" w14:textId="77777777" w:rsidR="0061448E" w:rsidRDefault="009E0CB5">
      <w:pPr>
        <w:shd w:val="clear" w:color="auto" w:fill="FFFFFF"/>
        <w:tabs>
          <w:tab w:val="left" w:pos="1276"/>
          <w:tab w:val="center" w:pos="1418"/>
          <w:tab w:val="right" w:pos="8306"/>
        </w:tabs>
        <w:ind w:firstLine="851"/>
        <w:jc w:val="both"/>
        <w:rPr>
          <w:color w:val="000000"/>
          <w:szCs w:val="24"/>
        </w:rPr>
      </w:pPr>
      <w:r>
        <w:rPr>
          <w:color w:val="000000"/>
          <w:szCs w:val="24"/>
        </w:rPr>
        <w:t>1.2</w:t>
      </w:r>
      <w:r>
        <w:rPr>
          <w:color w:val="000000"/>
          <w:szCs w:val="24"/>
        </w:rPr>
        <w:t>.</w:t>
      </w:r>
      <w:r>
        <w:rPr>
          <w:color w:val="000000"/>
          <w:szCs w:val="24"/>
        </w:rPr>
        <w:tab/>
      </w:r>
      <w:r>
        <w:rPr>
          <w:rFonts w:eastAsia="Calibri"/>
          <w:szCs w:val="24"/>
        </w:rPr>
        <w:t xml:space="preserve">Lietuvos notarų rūmus </w:t>
      </w:r>
      <w:r>
        <w:rPr>
          <w:szCs w:val="24"/>
        </w:rPr>
        <w:t xml:space="preserve">teikti asmenims </w:t>
      </w:r>
      <w:r>
        <w:rPr>
          <w:szCs w:val="24"/>
        </w:rPr>
        <w:t>informaciją apie aptarnavimo apribojimus notarų biuruose, koordinuoti notarų veiklą, teikti notarams rekomendacijas ir konsultacijas</w:t>
      </w:r>
      <w:r>
        <w:rPr>
          <w:color w:val="000000"/>
          <w:szCs w:val="24"/>
        </w:rPr>
        <w:t xml:space="preserve">; </w:t>
      </w:r>
    </w:p>
    <w:p w14:paraId="5893C124" w14:textId="77777777" w:rsidR="0061448E" w:rsidRDefault="009E0CB5">
      <w:pPr>
        <w:shd w:val="clear" w:color="auto" w:fill="FFFFFF"/>
        <w:tabs>
          <w:tab w:val="left" w:pos="1276"/>
          <w:tab w:val="center" w:pos="1418"/>
          <w:tab w:val="right" w:pos="8306"/>
        </w:tabs>
        <w:ind w:firstLine="851"/>
        <w:jc w:val="both"/>
        <w:rPr>
          <w:color w:val="000000"/>
          <w:szCs w:val="24"/>
        </w:rPr>
      </w:pPr>
      <w:r>
        <w:rPr>
          <w:color w:val="000000"/>
          <w:szCs w:val="24"/>
        </w:rPr>
        <w:t>1.3</w:t>
      </w:r>
      <w:r>
        <w:rPr>
          <w:color w:val="000000"/>
          <w:szCs w:val="24"/>
        </w:rPr>
        <w:t>.</w:t>
      </w:r>
      <w:r>
        <w:rPr>
          <w:color w:val="000000"/>
          <w:szCs w:val="24"/>
        </w:rPr>
        <w:tab/>
      </w:r>
      <w:r>
        <w:rPr>
          <w:rFonts w:eastAsia="Calibri"/>
          <w:szCs w:val="24"/>
        </w:rPr>
        <w:t xml:space="preserve">Lietuvos antstolių rūmus </w:t>
      </w:r>
      <w:r>
        <w:rPr>
          <w:szCs w:val="24"/>
        </w:rPr>
        <w:t>teikti asmenims informaciją apie aptarnavimo apribojimus antstolių kontorose, koordinuo</w:t>
      </w:r>
      <w:r>
        <w:rPr>
          <w:szCs w:val="24"/>
        </w:rPr>
        <w:t>ti antstolių veiklą, teikti antstoliams rekomendacijas ir konsultacijas.</w:t>
      </w:r>
    </w:p>
    <w:p w14:paraId="5893C125" w14:textId="77777777" w:rsidR="0061448E" w:rsidRDefault="009E0CB5">
      <w:pPr>
        <w:tabs>
          <w:tab w:val="left" w:pos="1134"/>
          <w:tab w:val="center" w:pos="1418"/>
          <w:tab w:val="right" w:pos="8306"/>
        </w:tabs>
        <w:ind w:firstLine="851"/>
        <w:jc w:val="both"/>
        <w:rPr>
          <w:rFonts w:eastAsia="Calibri"/>
          <w:szCs w:val="24"/>
        </w:rPr>
      </w:pPr>
      <w:r>
        <w:rPr>
          <w:rFonts w:eastAsia="Calibri"/>
          <w:szCs w:val="24"/>
        </w:rPr>
        <w:t>2</w:t>
      </w:r>
      <w:r>
        <w:rPr>
          <w:rFonts w:eastAsia="Calibri"/>
          <w:szCs w:val="24"/>
        </w:rPr>
        <w:t xml:space="preserve">. </w:t>
      </w:r>
      <w:r>
        <w:rPr>
          <w:rFonts w:eastAsia="Calibri"/>
          <w:spacing w:val="70"/>
          <w:szCs w:val="24"/>
        </w:rPr>
        <w:t>Nuroda</w:t>
      </w:r>
      <w:r>
        <w:rPr>
          <w:rFonts w:eastAsia="Calibri"/>
          <w:szCs w:val="24"/>
        </w:rPr>
        <w:t>u:</w:t>
      </w:r>
    </w:p>
    <w:p w14:paraId="5893C126" w14:textId="77777777" w:rsidR="0061448E" w:rsidRDefault="009E0CB5">
      <w:pPr>
        <w:tabs>
          <w:tab w:val="left" w:pos="1134"/>
          <w:tab w:val="center" w:pos="1418"/>
          <w:tab w:val="right" w:pos="8306"/>
        </w:tabs>
        <w:ind w:firstLine="851"/>
        <w:jc w:val="both"/>
        <w:rPr>
          <w:rFonts w:eastAsia="Calibri"/>
          <w:szCs w:val="24"/>
        </w:rPr>
      </w:pPr>
      <w:r>
        <w:rPr>
          <w:rFonts w:eastAsia="Calibri"/>
          <w:szCs w:val="24"/>
        </w:rPr>
        <w:t>2.1</w:t>
      </w:r>
      <w:r>
        <w:rPr>
          <w:rFonts w:eastAsia="Calibri"/>
          <w:szCs w:val="24"/>
        </w:rPr>
        <w:t>. notarams tais</w:t>
      </w:r>
      <w:r>
        <w:rPr>
          <w:color w:val="000000"/>
          <w:szCs w:val="24"/>
        </w:rPr>
        <w:t xml:space="preserve"> atvejais, kai prašoma atlikti notarinį veiksmą ne notaro biuro patalpose, </w:t>
      </w:r>
      <w:r>
        <w:rPr>
          <w:szCs w:val="24"/>
        </w:rPr>
        <w:t>i</w:t>
      </w:r>
      <w:r>
        <w:rPr>
          <w:szCs w:val="24"/>
          <w:shd w:val="clear" w:color="auto" w:fill="FFFFFF"/>
        </w:rPr>
        <w:t>mtis visų galimų atsargumo priemonių, susijusių su viruso COVID-19 pl</w:t>
      </w:r>
      <w:r>
        <w:rPr>
          <w:szCs w:val="24"/>
          <w:shd w:val="clear" w:color="auto" w:fill="FFFFFF"/>
        </w:rPr>
        <w:t xml:space="preserve">itimo grėsmės prevencija, bei </w:t>
      </w:r>
      <w:r>
        <w:rPr>
          <w:szCs w:val="24"/>
        </w:rPr>
        <w:t xml:space="preserve">laikytis visų Lietuvos Respublikos sveikatos apsaugos ministerijos ir kitų kompetentingų valstybės institucijų rekomendacijų. </w:t>
      </w:r>
      <w:r>
        <w:rPr>
          <w:color w:val="000000"/>
          <w:szCs w:val="24"/>
        </w:rPr>
        <w:t>Kai dėl objektyvių priežasčių neįmanoma užtikrinti, kad atliekant notarinį veiksmą bus apsaugota not</w:t>
      </w:r>
      <w:r>
        <w:rPr>
          <w:color w:val="000000"/>
          <w:szCs w:val="24"/>
        </w:rPr>
        <w:t>aro ar kitų dalyvaujančių asmenų sveikata ir užkirstas kelias plisti virusui COVID-19, notaras gali nevykti atlikti notarinio veiksmo ne notaro biuro patalpose;</w:t>
      </w:r>
    </w:p>
    <w:p w14:paraId="5893C12A" w14:textId="56F61E35" w:rsidR="0061448E" w:rsidRDefault="009E0CB5" w:rsidP="009E0CB5">
      <w:pPr>
        <w:tabs>
          <w:tab w:val="left" w:pos="1134"/>
          <w:tab w:val="center" w:pos="1418"/>
          <w:tab w:val="right" w:pos="8306"/>
        </w:tabs>
        <w:ind w:firstLine="851"/>
        <w:jc w:val="both"/>
      </w:pPr>
      <w:r>
        <w:rPr>
          <w:rFonts w:eastAsia="Calibri"/>
          <w:szCs w:val="24"/>
        </w:rPr>
        <w:t>2.2</w:t>
      </w:r>
      <w:r>
        <w:rPr>
          <w:rFonts w:eastAsia="Calibri"/>
          <w:szCs w:val="24"/>
        </w:rPr>
        <w:t xml:space="preserve">. antstoliams </w:t>
      </w:r>
      <w:r>
        <w:rPr>
          <w:color w:val="000000"/>
          <w:szCs w:val="24"/>
        </w:rPr>
        <w:t>tais atvejais, kai priverstinio vykdymo veiksmui atlikti būtinas tiesiogin</w:t>
      </w:r>
      <w:r>
        <w:rPr>
          <w:color w:val="000000"/>
          <w:szCs w:val="24"/>
        </w:rPr>
        <w:t xml:space="preserve">is antstolio, antstolio padėjėjo, vykdymo proceso šalių ir kitų asmenų dalyvavimas (pavyzdžiui, vykdant vykdomuosius dokumentus dėl priverstinio iškeldinimo ar įkeldinimo, vaiko perdavimo, nustatytos bendravimo su vaiku tvarkos ir panašiai), </w:t>
      </w:r>
      <w:r>
        <w:rPr>
          <w:szCs w:val="24"/>
        </w:rPr>
        <w:t>i</w:t>
      </w:r>
      <w:r>
        <w:rPr>
          <w:szCs w:val="24"/>
          <w:shd w:val="clear" w:color="auto" w:fill="FFFFFF"/>
        </w:rPr>
        <w:t>mtis visų gal</w:t>
      </w:r>
      <w:r>
        <w:rPr>
          <w:szCs w:val="24"/>
          <w:shd w:val="clear" w:color="auto" w:fill="FFFFFF"/>
        </w:rPr>
        <w:t xml:space="preserve">imų atsargumo priemonių, susijusių su viruso COVID-19 plitimo grėsmės prevencija, </w:t>
      </w:r>
      <w:r>
        <w:rPr>
          <w:szCs w:val="24"/>
        </w:rPr>
        <w:t>laikytis visų Lietuvos Respublikos sveikatos apsaugos ministerijos ir kitų kompetentingų valstybės institucijų rekomendacijų</w:t>
      </w:r>
      <w:r>
        <w:rPr>
          <w:rFonts w:eastAsia="Calibri"/>
          <w:szCs w:val="24"/>
        </w:rPr>
        <w:t>, o</w:t>
      </w:r>
      <w:r>
        <w:rPr>
          <w:color w:val="000000"/>
          <w:szCs w:val="24"/>
        </w:rPr>
        <w:t xml:space="preserve"> kai dėl objektyvių priežasčių neįmanoma užtikr</w:t>
      </w:r>
      <w:r>
        <w:rPr>
          <w:color w:val="000000"/>
          <w:szCs w:val="24"/>
        </w:rPr>
        <w:t>inti, kad atliekant priverstinio vykdymo veiksmą bus apsaugota antstolio, antstolio padėjėjo, vykdymo proceso šalių ir kitų dalyvaujančių asmenų sveikata ir užkirstas kelias plisti virusui COVID-19, motyvuotu antstolio patvarkymu priverstinio vykdymo veiks</w:t>
      </w:r>
      <w:r>
        <w:rPr>
          <w:color w:val="000000"/>
          <w:szCs w:val="24"/>
        </w:rPr>
        <w:t>mo atlikimą atidėti.“</w:t>
      </w:r>
    </w:p>
    <w:p w14:paraId="70AED99B" w14:textId="77777777" w:rsidR="009E0CB5" w:rsidRDefault="009E0CB5">
      <w:pPr>
        <w:jc w:val="both"/>
      </w:pPr>
    </w:p>
    <w:p w14:paraId="4C8B7B8C" w14:textId="77777777" w:rsidR="009E0CB5" w:rsidRDefault="009E0CB5">
      <w:pPr>
        <w:jc w:val="both"/>
      </w:pPr>
    </w:p>
    <w:p w14:paraId="1E0F7B9C" w14:textId="77777777" w:rsidR="009E0CB5" w:rsidRDefault="009E0CB5">
      <w:pPr>
        <w:jc w:val="both"/>
      </w:pPr>
    </w:p>
    <w:p w14:paraId="5893C12B" w14:textId="7EDF0338" w:rsidR="0061448E" w:rsidRDefault="009E0CB5">
      <w:pPr>
        <w:jc w:val="both"/>
      </w:pPr>
      <w:bookmarkStart w:id="0" w:name="_GoBack"/>
      <w:bookmarkEnd w:id="0"/>
      <w:r>
        <w:rPr>
          <w:szCs w:val="24"/>
        </w:rPr>
        <w:t xml:space="preserve">Teisingumo ministras </w:t>
      </w:r>
      <w:r>
        <w:rPr>
          <w:szCs w:val="24"/>
        </w:rPr>
        <w:tab/>
      </w:r>
      <w:r>
        <w:rPr>
          <w:szCs w:val="24"/>
        </w:rPr>
        <w:tab/>
      </w:r>
      <w:r>
        <w:rPr>
          <w:szCs w:val="24"/>
        </w:rPr>
        <w:tab/>
      </w:r>
      <w:r>
        <w:rPr>
          <w:szCs w:val="24"/>
        </w:rPr>
        <w:tab/>
        <w:t xml:space="preserve">          Elvinas Jankevičius</w:t>
      </w:r>
    </w:p>
    <w:sectPr w:rsidR="0061448E">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567" w:footer="567" w:gutter="0"/>
      <w:cols w:space="1296"/>
      <w:titlePg/>
      <w:docGrid w:linePitch="360"/>
    </w:sectPr>
  </w:body>
</w:document>
</file>

<file path=word/commentsIds.xml><?xml version="1.0" encoding="utf-8"?>
<w16cid:commentsIds xmlns:w16cid="http://schemas.microsoft.com/office/word/2016/wordml/cid"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C26926E" w16cid:durableId="221DDFC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93C130" w14:textId="77777777" w:rsidR="0061448E" w:rsidRDefault="009E0CB5">
      <w:pPr>
        <w:rPr>
          <w:szCs w:val="24"/>
        </w:rPr>
      </w:pPr>
      <w:r>
        <w:rPr>
          <w:szCs w:val="24"/>
        </w:rPr>
        <w:separator/>
      </w:r>
    </w:p>
  </w:endnote>
  <w:endnote w:type="continuationSeparator" w:id="0">
    <w:p w14:paraId="5893C131" w14:textId="77777777" w:rsidR="0061448E" w:rsidRDefault="009E0CB5">
      <w:pPr>
        <w:rPr>
          <w:szCs w:val="24"/>
        </w:rPr>
      </w:pPr>
      <w:r>
        <w:rPr>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93C135" w14:textId="77777777" w:rsidR="0061448E" w:rsidRDefault="0061448E">
    <w:pPr>
      <w:tabs>
        <w:tab w:val="center" w:pos="4513"/>
        <w:tab w:val="right" w:pos="9026"/>
      </w:tabs>
      <w:rPr>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93C136" w14:textId="77777777" w:rsidR="0061448E" w:rsidRDefault="0061448E">
    <w:pPr>
      <w:tabs>
        <w:tab w:val="center" w:pos="4513"/>
        <w:tab w:val="right" w:pos="9026"/>
      </w:tabs>
      <w:rPr>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93C138" w14:textId="77777777" w:rsidR="0061448E" w:rsidRDefault="0061448E">
    <w:pPr>
      <w:tabs>
        <w:tab w:val="center" w:pos="4513"/>
        <w:tab w:val="right" w:pos="9026"/>
      </w:tabs>
      <w:rPr>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93C12E" w14:textId="77777777" w:rsidR="0061448E" w:rsidRDefault="009E0CB5">
      <w:pPr>
        <w:rPr>
          <w:szCs w:val="24"/>
        </w:rPr>
      </w:pPr>
      <w:r>
        <w:rPr>
          <w:szCs w:val="24"/>
        </w:rPr>
        <w:separator/>
      </w:r>
    </w:p>
  </w:footnote>
  <w:footnote w:type="continuationSeparator" w:id="0">
    <w:p w14:paraId="5893C12F" w14:textId="77777777" w:rsidR="0061448E" w:rsidRDefault="009E0CB5">
      <w:pPr>
        <w:rPr>
          <w:szCs w:val="24"/>
        </w:rPr>
      </w:pPr>
      <w:r>
        <w:rPr>
          <w:szCs w:val="24"/>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93C132" w14:textId="77777777" w:rsidR="0061448E" w:rsidRDefault="0061448E">
    <w:pPr>
      <w:tabs>
        <w:tab w:val="center" w:pos="4153"/>
        <w:tab w:val="right" w:pos="8306"/>
      </w:tabs>
      <w:rPr>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93C133" w14:textId="77777777" w:rsidR="0061448E" w:rsidRDefault="009E0CB5">
    <w:pPr>
      <w:tabs>
        <w:tab w:val="center" w:pos="4153"/>
        <w:tab w:val="right" w:pos="8306"/>
      </w:tabs>
      <w:jc w:val="center"/>
      <w:rPr>
        <w:szCs w:val="24"/>
      </w:rPr>
    </w:pPr>
    <w:r>
      <w:rPr>
        <w:szCs w:val="24"/>
      </w:rPr>
      <w:fldChar w:fldCharType="begin"/>
    </w:r>
    <w:r>
      <w:rPr>
        <w:szCs w:val="24"/>
      </w:rPr>
      <w:instrText>PAGE   \* MERGEFORMAT</w:instrText>
    </w:r>
    <w:r>
      <w:rPr>
        <w:szCs w:val="24"/>
      </w:rPr>
      <w:fldChar w:fldCharType="separate"/>
    </w:r>
    <w:r>
      <w:rPr>
        <w:noProof/>
        <w:szCs w:val="24"/>
      </w:rPr>
      <w:t>2</w:t>
    </w:r>
    <w:r>
      <w:rPr>
        <w:szCs w:val="24"/>
      </w:rPr>
      <w:fldChar w:fldCharType="end"/>
    </w:r>
  </w:p>
  <w:p w14:paraId="5893C134" w14:textId="77777777" w:rsidR="0061448E" w:rsidRDefault="0061448E">
    <w:pPr>
      <w:tabs>
        <w:tab w:val="center" w:pos="4153"/>
        <w:tab w:val="right" w:pos="8306"/>
      </w:tabs>
      <w:rPr>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93C137" w14:textId="77777777" w:rsidR="0061448E" w:rsidRDefault="0061448E">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C00"/>
    <w:rsid w:val="0061448E"/>
    <w:rsid w:val="00621C00"/>
    <w:rsid w:val="009E0CB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3C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3234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18" Type="http://schemas.microsoft.com/office/2016/09/relationships/commentsIds" Target="commentsIds.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2531</Words>
  <Characters>1444</Characters>
  <Application>Microsoft Office Word</Application>
  <DocSecurity>0</DocSecurity>
  <Lines>12</Lines>
  <Paragraphs>7</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3968</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2020-05-27T10:08:00Z</dcterms:created>
  <dc:creator>Auksė</dc:creator>
  <lastModifiedBy>Loreta RAKAUSKIENĖ</lastModifiedBy>
  <dcterms:modified xsi:type="dcterms:W3CDTF">2020-05-27T10:19:00Z</dcterms:modified>
  <revision>3</revision>
</coreProperties>
</file>